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14" w:rsidRPr="00E051E0" w:rsidRDefault="006E5014" w:rsidP="006E5014">
      <w:pPr>
        <w:pStyle w:val="Corpodeltesto2"/>
        <w:spacing w:after="0" w:line="360" w:lineRule="auto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r w:rsidRPr="00E051E0">
        <w:rPr>
          <w:rFonts w:ascii="Tahoma" w:hAnsi="Tahoma" w:cs="Tahoma"/>
          <w:b/>
          <w:sz w:val="22"/>
          <w:szCs w:val="22"/>
        </w:rPr>
        <w:t>TARIFFE</w:t>
      </w:r>
    </w:p>
    <w:bookmarkEnd w:id="0"/>
    <w:p w:rsidR="006E5014" w:rsidRPr="00E051E0" w:rsidRDefault="006E5014" w:rsidP="006E5014">
      <w:pPr>
        <w:tabs>
          <w:tab w:val="left" w:pos="198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051E0">
        <w:rPr>
          <w:rFonts w:ascii="Tahoma" w:hAnsi="Tahoma" w:cs="Tahoma"/>
          <w:sz w:val="22"/>
          <w:szCs w:val="22"/>
        </w:rPr>
        <w:t xml:space="preserve">Il gestore ha l’obbligo di applicare tariffe non superiori a quelle di seguito indicate </w:t>
      </w:r>
    </w:p>
    <w:p w:rsidR="006E5014" w:rsidRPr="00E051E0" w:rsidRDefault="006E5014" w:rsidP="006E5014">
      <w:pPr>
        <w:tabs>
          <w:tab w:val="left" w:pos="198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E5014" w:rsidRPr="00E051E0" w:rsidRDefault="006E5014" w:rsidP="006E5014">
      <w:pPr>
        <w:tabs>
          <w:tab w:val="left" w:pos="1980"/>
        </w:tabs>
        <w:spacing w:line="360" w:lineRule="aut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E051E0">
        <w:rPr>
          <w:rFonts w:ascii="Tahoma" w:hAnsi="Tahoma" w:cs="Tahoma"/>
          <w:i/>
          <w:sz w:val="22"/>
          <w:szCs w:val="22"/>
          <w:u w:val="single"/>
        </w:rPr>
        <w:t>Tariffe al netto di IVA e del ribasso offerto in fase di gara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462"/>
        <w:gridCol w:w="1956"/>
        <w:gridCol w:w="1956"/>
        <w:gridCol w:w="1956"/>
      </w:tblGrid>
      <w:tr w:rsidR="006E5014" w:rsidRPr="002555E5" w:rsidTr="00A14D45">
        <w:trPr>
          <w:jc w:val="center"/>
        </w:trPr>
        <w:tc>
          <w:tcPr>
            <w:tcW w:w="2448" w:type="dxa"/>
            <w:vAlign w:val="center"/>
          </w:tcPr>
          <w:p w:rsidR="006E5014" w:rsidRPr="002555E5" w:rsidRDefault="006E5014" w:rsidP="00A1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E5">
              <w:rPr>
                <w:rFonts w:ascii="Arial" w:hAnsi="Arial" w:cs="Arial"/>
                <w:sz w:val="20"/>
                <w:szCs w:val="20"/>
              </w:rPr>
              <w:t>CAMPO DI CALCIO</w:t>
            </w:r>
          </w:p>
        </w:tc>
        <w:tc>
          <w:tcPr>
            <w:tcW w:w="1462" w:type="dxa"/>
            <w:vAlign w:val="center"/>
          </w:tcPr>
          <w:p w:rsidR="006E5014" w:rsidRPr="002555E5" w:rsidRDefault="006E5014" w:rsidP="00A1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E5">
              <w:rPr>
                <w:rFonts w:ascii="Arial" w:hAnsi="Arial" w:cs="Arial"/>
                <w:sz w:val="20"/>
                <w:szCs w:val="20"/>
              </w:rPr>
              <w:t>tariffa base</w:t>
            </w:r>
          </w:p>
        </w:tc>
        <w:tc>
          <w:tcPr>
            <w:tcW w:w="1956" w:type="dxa"/>
            <w:vAlign w:val="center"/>
          </w:tcPr>
          <w:p w:rsidR="006E5014" w:rsidRPr="002555E5" w:rsidRDefault="006E5014" w:rsidP="00A1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E5">
              <w:rPr>
                <w:rFonts w:ascii="Arial" w:hAnsi="Arial" w:cs="Arial"/>
                <w:sz w:val="20"/>
                <w:szCs w:val="20"/>
              </w:rPr>
              <w:t>integrazione illuminazione</w:t>
            </w:r>
          </w:p>
        </w:tc>
        <w:tc>
          <w:tcPr>
            <w:tcW w:w="1956" w:type="dxa"/>
            <w:vAlign w:val="center"/>
          </w:tcPr>
          <w:p w:rsidR="006E5014" w:rsidRPr="002555E5" w:rsidRDefault="006E5014" w:rsidP="00A1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E5">
              <w:rPr>
                <w:rFonts w:ascii="Arial" w:hAnsi="Arial" w:cs="Arial"/>
                <w:sz w:val="20"/>
                <w:szCs w:val="20"/>
              </w:rPr>
              <w:t>integrazione pulizie</w:t>
            </w:r>
          </w:p>
          <w:p w:rsidR="006E5014" w:rsidRPr="002555E5" w:rsidRDefault="006E5014" w:rsidP="00A1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E5">
              <w:rPr>
                <w:rFonts w:ascii="Arial" w:hAnsi="Arial" w:cs="Arial"/>
                <w:sz w:val="20"/>
                <w:szCs w:val="20"/>
              </w:rPr>
              <w:t>zona pubblico</w:t>
            </w:r>
          </w:p>
        </w:tc>
        <w:tc>
          <w:tcPr>
            <w:tcW w:w="1956" w:type="dxa"/>
            <w:vAlign w:val="center"/>
          </w:tcPr>
          <w:p w:rsidR="006E5014" w:rsidRPr="002555E5" w:rsidRDefault="006E5014" w:rsidP="00A1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E5">
              <w:rPr>
                <w:rFonts w:ascii="Arial" w:hAnsi="Arial" w:cs="Arial"/>
                <w:sz w:val="20"/>
                <w:szCs w:val="20"/>
              </w:rPr>
              <w:t>integrazione vigilanza antincendio</w:t>
            </w:r>
          </w:p>
        </w:tc>
      </w:tr>
      <w:tr w:rsidR="006E5014" w:rsidRPr="002555E5" w:rsidTr="00A14D45">
        <w:trPr>
          <w:trHeight w:val="451"/>
          <w:jc w:val="center"/>
        </w:trPr>
        <w:tc>
          <w:tcPr>
            <w:tcW w:w="2448" w:type="dxa"/>
            <w:vAlign w:val="center"/>
          </w:tcPr>
          <w:p w:rsidR="006E5014" w:rsidRPr="002555E5" w:rsidRDefault="006E5014" w:rsidP="00A1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E5">
              <w:rPr>
                <w:rFonts w:ascii="Arial" w:hAnsi="Arial" w:cs="Arial"/>
                <w:sz w:val="20"/>
                <w:szCs w:val="20"/>
              </w:rPr>
              <w:t>Tariffa agevolata</w:t>
            </w:r>
          </w:p>
        </w:tc>
        <w:tc>
          <w:tcPr>
            <w:tcW w:w="1462" w:type="dxa"/>
            <w:vAlign w:val="center"/>
          </w:tcPr>
          <w:p w:rsidR="006E5014" w:rsidRPr="002555E5" w:rsidRDefault="006E5014" w:rsidP="00A1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E5"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555E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555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6" w:type="dxa"/>
            <w:vAlign w:val="center"/>
          </w:tcPr>
          <w:p w:rsidR="006E5014" w:rsidRPr="002555E5" w:rsidRDefault="006E5014" w:rsidP="00A1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E5">
              <w:rPr>
                <w:rFonts w:ascii="Arial" w:hAnsi="Arial" w:cs="Arial"/>
                <w:sz w:val="20"/>
                <w:szCs w:val="20"/>
              </w:rPr>
              <w:t>€ 5,00</w:t>
            </w:r>
          </w:p>
        </w:tc>
        <w:tc>
          <w:tcPr>
            <w:tcW w:w="1956" w:type="dxa"/>
            <w:vAlign w:val="center"/>
          </w:tcPr>
          <w:p w:rsidR="006E5014" w:rsidRPr="002555E5" w:rsidRDefault="006E5014" w:rsidP="00A1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E5">
              <w:rPr>
                <w:rFonts w:ascii="Arial" w:hAnsi="Arial" w:cs="Arial"/>
                <w:sz w:val="20"/>
                <w:szCs w:val="20"/>
              </w:rPr>
              <w:t>€ 0,00</w:t>
            </w:r>
          </w:p>
        </w:tc>
        <w:tc>
          <w:tcPr>
            <w:tcW w:w="1956" w:type="dxa"/>
            <w:vAlign w:val="center"/>
          </w:tcPr>
          <w:p w:rsidR="006E5014" w:rsidRPr="002555E5" w:rsidRDefault="006E5014" w:rsidP="00A1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E5">
              <w:rPr>
                <w:rFonts w:ascii="Arial" w:hAnsi="Arial" w:cs="Arial"/>
                <w:sz w:val="20"/>
                <w:szCs w:val="20"/>
              </w:rPr>
              <w:t>€ 0,00</w:t>
            </w:r>
          </w:p>
        </w:tc>
      </w:tr>
      <w:tr w:rsidR="006E5014" w:rsidRPr="002555E5" w:rsidTr="00A14D45">
        <w:trPr>
          <w:trHeight w:val="557"/>
          <w:jc w:val="center"/>
        </w:trPr>
        <w:tc>
          <w:tcPr>
            <w:tcW w:w="2448" w:type="dxa"/>
            <w:vAlign w:val="center"/>
          </w:tcPr>
          <w:p w:rsidR="006E5014" w:rsidRPr="002555E5" w:rsidRDefault="006E5014" w:rsidP="00A1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E5">
              <w:rPr>
                <w:rFonts w:ascii="Arial" w:hAnsi="Arial" w:cs="Arial"/>
                <w:sz w:val="20"/>
                <w:szCs w:val="20"/>
              </w:rPr>
              <w:t>Tariffa ordinaria</w:t>
            </w:r>
          </w:p>
        </w:tc>
        <w:tc>
          <w:tcPr>
            <w:tcW w:w="1462" w:type="dxa"/>
            <w:vAlign w:val="center"/>
          </w:tcPr>
          <w:p w:rsidR="006E5014" w:rsidRPr="002555E5" w:rsidRDefault="006E5014" w:rsidP="00A1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E5"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2555E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555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6" w:type="dxa"/>
            <w:vAlign w:val="center"/>
          </w:tcPr>
          <w:p w:rsidR="006E5014" w:rsidRPr="002555E5" w:rsidRDefault="006E5014" w:rsidP="00A1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E5">
              <w:rPr>
                <w:rFonts w:ascii="Arial" w:hAnsi="Arial" w:cs="Arial"/>
                <w:sz w:val="20"/>
                <w:szCs w:val="20"/>
              </w:rPr>
              <w:t>€ 10,00</w:t>
            </w:r>
          </w:p>
        </w:tc>
        <w:tc>
          <w:tcPr>
            <w:tcW w:w="1956" w:type="dxa"/>
            <w:vAlign w:val="center"/>
          </w:tcPr>
          <w:p w:rsidR="006E5014" w:rsidRPr="002555E5" w:rsidRDefault="006E5014" w:rsidP="00A1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E5">
              <w:rPr>
                <w:rFonts w:ascii="Arial" w:hAnsi="Arial" w:cs="Arial"/>
                <w:sz w:val="20"/>
                <w:szCs w:val="20"/>
              </w:rPr>
              <w:t>€ 6,50</w:t>
            </w:r>
          </w:p>
        </w:tc>
        <w:tc>
          <w:tcPr>
            <w:tcW w:w="1956" w:type="dxa"/>
            <w:vAlign w:val="center"/>
          </w:tcPr>
          <w:p w:rsidR="006E5014" w:rsidRPr="002555E5" w:rsidRDefault="006E5014" w:rsidP="00A1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E5">
              <w:rPr>
                <w:rFonts w:ascii="Arial" w:hAnsi="Arial" w:cs="Arial"/>
                <w:sz w:val="20"/>
                <w:szCs w:val="20"/>
              </w:rPr>
              <w:t>€ 13,00</w:t>
            </w:r>
          </w:p>
        </w:tc>
      </w:tr>
    </w:tbl>
    <w:p w:rsidR="006E5014" w:rsidRDefault="006E5014" w:rsidP="006E5014">
      <w:pPr>
        <w:tabs>
          <w:tab w:val="left" w:pos="1980"/>
        </w:tabs>
        <w:spacing w:line="360" w:lineRule="auto"/>
        <w:jc w:val="both"/>
        <w:rPr>
          <w:rFonts w:ascii="Tahoma" w:hAnsi="Tahoma" w:cs="Tahoma"/>
          <w:i/>
          <w:u w:val="single"/>
        </w:rPr>
      </w:pPr>
    </w:p>
    <w:p w:rsidR="006E5014" w:rsidRPr="00E051E0" w:rsidRDefault="006E5014" w:rsidP="006E5014">
      <w:pPr>
        <w:tabs>
          <w:tab w:val="left" w:pos="198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051E0">
        <w:rPr>
          <w:rFonts w:ascii="Tahoma" w:hAnsi="Tahoma" w:cs="Tahoma"/>
          <w:sz w:val="22"/>
          <w:szCs w:val="22"/>
        </w:rPr>
        <w:t>Ciascun concorrente potrà produrre proposte migliorative per l’Amministrazione comunale prevedendo l’applicazione di tali tariffe più basse rispetto a quelle riportate nel precitato tariffario. In tal caso il gestore si impegna contrattualmente ad applicare nell’esercizio dell’impianto le tariffe ribassate. Non sono ammesse proposte che prevedano, anche singolarmente, tariffe superiori.</w:t>
      </w:r>
    </w:p>
    <w:p w:rsidR="006E5014" w:rsidRPr="00E051E0" w:rsidRDefault="006E5014" w:rsidP="006E5014">
      <w:pPr>
        <w:tabs>
          <w:tab w:val="left" w:pos="4395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E051E0">
        <w:rPr>
          <w:rFonts w:ascii="Tahoma" w:hAnsi="Tahoma" w:cs="Tahoma"/>
          <w:b/>
          <w:sz w:val="22"/>
          <w:szCs w:val="22"/>
        </w:rPr>
        <w:t>La mancata applicazione delle tariffe è considerata negligenza e grave inadempienza contrattuale ed è causa di rescissione contrattuale.</w:t>
      </w:r>
    </w:p>
    <w:p w:rsidR="006E5014" w:rsidRPr="00E051E0" w:rsidRDefault="006E5014" w:rsidP="006E5014">
      <w:pPr>
        <w:tabs>
          <w:tab w:val="left" w:pos="4395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051E0">
        <w:rPr>
          <w:rFonts w:ascii="Tahoma" w:hAnsi="Tahoma" w:cs="Tahoma"/>
          <w:sz w:val="22"/>
          <w:szCs w:val="22"/>
        </w:rPr>
        <w:t>Le tariffe di contratto saranno soggette annualmente a revisione secondo gli indici ISTAT. Ogni eventuale variazione in aumento oltre gli indici ISTAT dovrà essere preventivamente autorizzata dal Comune.</w:t>
      </w:r>
    </w:p>
    <w:p w:rsidR="006E5014" w:rsidRPr="00E051E0" w:rsidRDefault="006E5014" w:rsidP="006E5014">
      <w:pPr>
        <w:tabs>
          <w:tab w:val="left" w:pos="4395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051E0">
        <w:rPr>
          <w:rFonts w:ascii="Tahoma" w:hAnsi="Tahoma" w:cs="Tahoma"/>
          <w:sz w:val="22"/>
          <w:szCs w:val="22"/>
        </w:rPr>
        <w:t>Il gestore dovrà esporre le tariffe di contratto in luogo accessibile e aperto al pubblico, con un apposito cartello nel quale dovrà essere precisato che la non applicazione delle tariffe contrattuali è considerata grave inadempienza contrattuale.</w:t>
      </w:r>
    </w:p>
    <w:p w:rsidR="006E5014" w:rsidRPr="00E051E0" w:rsidRDefault="006E5014" w:rsidP="006E5014">
      <w:pPr>
        <w:pStyle w:val="Corpodeltesto2"/>
        <w:spacing w:after="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E051E0">
        <w:rPr>
          <w:rFonts w:ascii="Tahoma" w:hAnsi="Tahoma" w:cs="Tahoma"/>
          <w:b/>
          <w:sz w:val="22"/>
          <w:szCs w:val="22"/>
        </w:rPr>
        <w:t>Tutti i proventi derivanti dall’introito delle predette tariffe e dalla gestione delle attività complementare spettano al gestore.</w:t>
      </w:r>
    </w:p>
    <w:p w:rsidR="006E5014" w:rsidRPr="00E051E0" w:rsidRDefault="006E5014" w:rsidP="006E5014">
      <w:pPr>
        <w:pStyle w:val="Corpodeltesto2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E051E0">
        <w:rPr>
          <w:rFonts w:ascii="Tahoma" w:hAnsi="Tahoma" w:cs="Tahoma"/>
          <w:sz w:val="22"/>
          <w:szCs w:val="22"/>
        </w:rPr>
        <w:t>Il gestore dovrà esporre altresì il Regolamento d’uso.</w:t>
      </w:r>
    </w:p>
    <w:p w:rsidR="00336B7C" w:rsidRDefault="00336B7C"/>
    <w:sectPr w:rsidR="00336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14"/>
    <w:rsid w:val="00336B7C"/>
    <w:rsid w:val="006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E50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E501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E50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E501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Nitti Vito</dc:creator>
  <cp:lastModifiedBy>Nitti Vito</cp:lastModifiedBy>
  <cp:revision>1</cp:revision>
  <dcterms:created xsi:type="dcterms:W3CDTF">2014-01-10T11:16:00Z</dcterms:created>
  <dcterms:modified xsi:type="dcterms:W3CDTF">2014-01-10T11:17:00Z</dcterms:modified>
</cp:coreProperties>
</file>