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3" w:rsidRPr="005B5887" w:rsidRDefault="0048249A" w:rsidP="005B5887">
      <w:pPr>
        <w:pStyle w:val="Titolo"/>
      </w:pPr>
      <w:r w:rsidRPr="005B5887">
        <w:t xml:space="preserve">Scheda di sintesi sulla rilevazione degli OIV o </w:t>
      </w:r>
      <w:r w:rsidR="009A5646" w:rsidRPr="005B5887"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C27B23" w:rsidRDefault="006B6F6D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Data di inizio: 3 giugno 2022</w:t>
      </w:r>
    </w:p>
    <w:p w:rsidR="00C27B23" w:rsidRDefault="006B6F6D" w:rsidP="0054516B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Data di fine: </w:t>
      </w:r>
      <w:r w:rsidR="00586620">
        <w:rPr>
          <w:rFonts w:ascii="Titillium" w:hAnsi="Titillium"/>
          <w:sz w:val="20"/>
          <w:szCs w:val="20"/>
        </w:rPr>
        <w:t xml:space="preserve">16 </w:t>
      </w:r>
      <w:r>
        <w:rPr>
          <w:rFonts w:ascii="Titillium" w:hAnsi="Titillium"/>
          <w:sz w:val="20"/>
          <w:szCs w:val="20"/>
        </w:rPr>
        <w:t>giugno 2022</w:t>
      </w:r>
    </w:p>
    <w:p w:rsidR="005B5887" w:rsidRDefault="005B5887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6B6F6D" w:rsidRDefault="008552A3" w:rsidP="006B6F6D">
      <w:pPr>
        <w:pStyle w:val="Default"/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</w:t>
      </w:r>
      <w:r w:rsidR="006B6F6D">
        <w:rPr>
          <w:rFonts w:ascii="Titillium" w:hAnsi="Titillium"/>
          <w:sz w:val="20"/>
          <w:szCs w:val="20"/>
        </w:rPr>
        <w:t xml:space="preserve">’Organismo </w:t>
      </w:r>
      <w:r w:rsidR="0061233D">
        <w:rPr>
          <w:rFonts w:ascii="Titillium" w:hAnsi="Titillium"/>
          <w:sz w:val="20"/>
          <w:szCs w:val="20"/>
        </w:rPr>
        <w:t xml:space="preserve">di Valutazione, a seguito dell’attività istruttoria </w:t>
      </w:r>
      <w:r>
        <w:rPr>
          <w:rFonts w:ascii="Titillium" w:hAnsi="Titillium"/>
          <w:sz w:val="20"/>
          <w:szCs w:val="20"/>
        </w:rPr>
        <w:t>avviata da</w:t>
      </w:r>
      <w:r w:rsidR="0061233D">
        <w:rPr>
          <w:rFonts w:ascii="Titillium" w:hAnsi="Titillium"/>
          <w:sz w:val="20"/>
          <w:szCs w:val="20"/>
        </w:rPr>
        <w:t>l Responsabile della Prevenzione della Corruzione e della Trasparenza</w:t>
      </w:r>
      <w:r w:rsidR="001B02FE">
        <w:rPr>
          <w:rFonts w:ascii="Titillium" w:hAnsi="Titillium"/>
          <w:sz w:val="20"/>
          <w:szCs w:val="20"/>
        </w:rPr>
        <w:t xml:space="preserve"> del Comune di Bari, dott. D’</w:t>
      </w:r>
      <w:proofErr w:type="spellStart"/>
      <w:r w:rsidR="001B02FE">
        <w:rPr>
          <w:rFonts w:ascii="Titillium" w:hAnsi="Titillium"/>
          <w:sz w:val="20"/>
          <w:szCs w:val="20"/>
        </w:rPr>
        <w:t>Onchia</w:t>
      </w:r>
      <w:proofErr w:type="spellEnd"/>
      <w:r w:rsidR="001B02FE">
        <w:rPr>
          <w:rFonts w:ascii="Titillium" w:hAnsi="Titillium"/>
          <w:sz w:val="20"/>
          <w:szCs w:val="20"/>
        </w:rPr>
        <w:t>, con n</w:t>
      </w:r>
      <w:r w:rsidR="0061233D">
        <w:rPr>
          <w:rFonts w:ascii="Titillium" w:hAnsi="Titillium"/>
          <w:sz w:val="20"/>
          <w:szCs w:val="20"/>
        </w:rPr>
        <w:t xml:space="preserve">ota </w:t>
      </w:r>
      <w:proofErr w:type="spellStart"/>
      <w:r w:rsidR="0061233D">
        <w:rPr>
          <w:rFonts w:ascii="Titillium" w:hAnsi="Titillium"/>
          <w:sz w:val="20"/>
          <w:szCs w:val="20"/>
        </w:rPr>
        <w:t>prot</w:t>
      </w:r>
      <w:proofErr w:type="spellEnd"/>
      <w:r w:rsidR="0061233D">
        <w:rPr>
          <w:rFonts w:ascii="Titillium" w:hAnsi="Titillium"/>
          <w:sz w:val="20"/>
          <w:szCs w:val="20"/>
        </w:rPr>
        <w:t xml:space="preserve">. </w:t>
      </w:r>
      <w:r w:rsidR="001B02FE">
        <w:rPr>
          <w:rFonts w:ascii="Titillium" w:hAnsi="Titillium"/>
          <w:sz w:val="20"/>
          <w:szCs w:val="20"/>
        </w:rPr>
        <w:t xml:space="preserve">n. </w:t>
      </w:r>
      <w:r w:rsidR="0061233D">
        <w:rPr>
          <w:rFonts w:ascii="Titillium" w:hAnsi="Titillium"/>
          <w:sz w:val="20"/>
          <w:szCs w:val="20"/>
        </w:rPr>
        <w:t xml:space="preserve">146668 del 11/05/2022 </w:t>
      </w:r>
      <w:r>
        <w:rPr>
          <w:rFonts w:ascii="Titillium" w:hAnsi="Titillium"/>
          <w:sz w:val="20"/>
          <w:szCs w:val="20"/>
        </w:rPr>
        <w:t>conclusasi con la trasmission</w:t>
      </w:r>
      <w:r w:rsidR="00293626">
        <w:rPr>
          <w:rFonts w:ascii="Titillium" w:hAnsi="Titillium"/>
          <w:sz w:val="20"/>
          <w:szCs w:val="20"/>
        </w:rPr>
        <w:t>e</w:t>
      </w:r>
      <w:r>
        <w:rPr>
          <w:rFonts w:ascii="Titillium" w:hAnsi="Titillium"/>
          <w:sz w:val="20"/>
          <w:szCs w:val="20"/>
        </w:rPr>
        <w:t xml:space="preserve"> a questo Ufficio dei</w:t>
      </w:r>
      <w:r w:rsidR="0061233D">
        <w:rPr>
          <w:rFonts w:ascii="Titillium" w:hAnsi="Titillium"/>
          <w:sz w:val="20"/>
          <w:szCs w:val="20"/>
        </w:rPr>
        <w:t xml:space="preserve"> ris</w:t>
      </w:r>
      <w:r w:rsidR="001B02FE">
        <w:rPr>
          <w:rFonts w:ascii="Titillium" w:hAnsi="Titillium"/>
          <w:sz w:val="20"/>
          <w:szCs w:val="20"/>
        </w:rPr>
        <w:t>contri pervenuti dai Dirigenti responsabili della p</w:t>
      </w:r>
      <w:r w:rsidR="0061233D">
        <w:rPr>
          <w:rFonts w:ascii="Titillium" w:hAnsi="Titillium"/>
          <w:sz w:val="20"/>
          <w:szCs w:val="20"/>
        </w:rPr>
        <w:t>ubblicazione dei dati</w:t>
      </w:r>
      <w:r>
        <w:rPr>
          <w:rFonts w:ascii="Titillium" w:hAnsi="Titillium"/>
          <w:sz w:val="20"/>
          <w:szCs w:val="20"/>
        </w:rPr>
        <w:t>, ha avviato in data 03/06/2022 l’attività di verifica relativa all’esatto adempimento degli obblighi di pubblicazi</w:t>
      </w:r>
      <w:r w:rsidR="001B02FE">
        <w:rPr>
          <w:rFonts w:ascii="Titillium" w:hAnsi="Titillium"/>
          <w:sz w:val="20"/>
          <w:szCs w:val="20"/>
        </w:rPr>
        <w:t>one previsti dalla Delibera ANAC</w:t>
      </w:r>
      <w:r>
        <w:rPr>
          <w:rFonts w:ascii="Titillium" w:hAnsi="Titillium"/>
          <w:sz w:val="20"/>
          <w:szCs w:val="20"/>
        </w:rPr>
        <w:t xml:space="preserve"> n. 201/2022, con riferimento a qua</w:t>
      </w:r>
      <w:r w:rsidR="001B02FE">
        <w:rPr>
          <w:rFonts w:ascii="Titillium" w:hAnsi="Titillium"/>
          <w:sz w:val="20"/>
          <w:szCs w:val="20"/>
        </w:rPr>
        <w:t xml:space="preserve">nto pubblicato nella sezione </w:t>
      </w:r>
      <w:r>
        <w:rPr>
          <w:rFonts w:ascii="Titillium" w:hAnsi="Titillium"/>
          <w:sz w:val="20"/>
          <w:szCs w:val="20"/>
        </w:rPr>
        <w:t>AT del portale Istituzionale</w:t>
      </w:r>
      <w:r w:rsidR="001B02FE">
        <w:rPr>
          <w:rFonts w:ascii="Titillium" w:hAnsi="Titillium"/>
          <w:sz w:val="20"/>
          <w:szCs w:val="20"/>
        </w:rPr>
        <w:t>,</w:t>
      </w:r>
      <w:r>
        <w:rPr>
          <w:rFonts w:ascii="Titillium" w:hAnsi="Titillium"/>
          <w:sz w:val="20"/>
          <w:szCs w:val="20"/>
        </w:rPr>
        <w:t xml:space="preserve"> alla data del 31/05/2022. </w:t>
      </w:r>
    </w:p>
    <w:p w:rsidR="003E2BC1" w:rsidRDefault="00266A2A" w:rsidP="00586620">
      <w:pPr>
        <w:pStyle w:val="Default"/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Ai fini della rilevazione, c</w:t>
      </w:r>
      <w:r w:rsidR="006B6F6D" w:rsidRPr="006B6F6D">
        <w:rPr>
          <w:rFonts w:ascii="Titillium" w:hAnsi="Titillium"/>
          <w:sz w:val="20"/>
          <w:szCs w:val="20"/>
        </w:rPr>
        <w:t xml:space="preserve">iascun </w:t>
      </w:r>
      <w:r w:rsidR="001B02FE">
        <w:rPr>
          <w:rFonts w:ascii="Titillium" w:hAnsi="Titillium"/>
          <w:sz w:val="20"/>
          <w:szCs w:val="20"/>
        </w:rPr>
        <w:t>c</w:t>
      </w:r>
      <w:r w:rsidR="008552A3">
        <w:rPr>
          <w:rFonts w:ascii="Titillium" w:hAnsi="Titillium"/>
          <w:sz w:val="20"/>
          <w:szCs w:val="20"/>
        </w:rPr>
        <w:t>omponente l’Organismo di Valutazione</w:t>
      </w:r>
      <w:r w:rsidR="006B6F6D" w:rsidRPr="006B6F6D">
        <w:rPr>
          <w:rFonts w:ascii="Titillium" w:hAnsi="Titillium"/>
          <w:sz w:val="20"/>
          <w:szCs w:val="20"/>
        </w:rPr>
        <w:t xml:space="preserve"> ha</w:t>
      </w:r>
      <w:r w:rsidR="006B6F6D">
        <w:rPr>
          <w:rFonts w:ascii="Titillium" w:hAnsi="Titillium"/>
          <w:sz w:val="20"/>
          <w:szCs w:val="20"/>
        </w:rPr>
        <w:t xml:space="preserve"> esaminato la documentazione e</w:t>
      </w:r>
      <w:r>
        <w:rPr>
          <w:rFonts w:ascii="Titillium" w:hAnsi="Titillium"/>
          <w:sz w:val="20"/>
          <w:szCs w:val="20"/>
        </w:rPr>
        <w:t>, individualmente, ha condotto una verifica diretta sul</w:t>
      </w:r>
      <w:r w:rsidR="006B6F6D">
        <w:rPr>
          <w:rFonts w:ascii="Titillium" w:hAnsi="Titillium"/>
          <w:sz w:val="20"/>
          <w:szCs w:val="20"/>
        </w:rPr>
        <w:t xml:space="preserve">la pagina </w:t>
      </w:r>
      <w:r w:rsidR="006B6F6D" w:rsidRPr="006B6F6D">
        <w:rPr>
          <w:rFonts w:ascii="Titillium" w:hAnsi="Titillium"/>
          <w:sz w:val="20"/>
          <w:szCs w:val="20"/>
        </w:rPr>
        <w:t xml:space="preserve">istituzionale </w:t>
      </w:r>
      <w:r w:rsidR="0090661E">
        <w:rPr>
          <w:rFonts w:ascii="Titillium" w:hAnsi="Titillium"/>
          <w:sz w:val="20"/>
          <w:szCs w:val="20"/>
        </w:rPr>
        <w:t xml:space="preserve">avente ad oggetto </w:t>
      </w:r>
      <w:r>
        <w:rPr>
          <w:rFonts w:ascii="Titillium" w:hAnsi="Titillium"/>
          <w:sz w:val="20"/>
          <w:szCs w:val="20"/>
        </w:rPr>
        <w:t>i dati oggetto di attestazione</w:t>
      </w:r>
      <w:r w:rsidR="0090661E">
        <w:rPr>
          <w:rFonts w:ascii="Titillium" w:hAnsi="Titillium"/>
          <w:sz w:val="20"/>
          <w:szCs w:val="20"/>
        </w:rPr>
        <w:t xml:space="preserve"> nelle relative sottosezioni</w:t>
      </w:r>
      <w:r w:rsidR="006B6F6D">
        <w:rPr>
          <w:rFonts w:ascii="Titillium" w:hAnsi="Titillium"/>
          <w:sz w:val="20"/>
          <w:szCs w:val="20"/>
        </w:rPr>
        <w:t xml:space="preserve">. </w:t>
      </w:r>
    </w:p>
    <w:p w:rsidR="00293626" w:rsidRDefault="006B6F6D" w:rsidP="00586620">
      <w:pPr>
        <w:pStyle w:val="Default"/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In data 15 giugno 2022</w:t>
      </w:r>
      <w:r w:rsidRPr="006B6F6D">
        <w:rPr>
          <w:rFonts w:ascii="Titillium" w:hAnsi="Titillium"/>
          <w:sz w:val="20"/>
          <w:szCs w:val="20"/>
        </w:rPr>
        <w:t xml:space="preserve">, </w:t>
      </w:r>
      <w:r>
        <w:rPr>
          <w:rFonts w:ascii="Titillium" w:hAnsi="Titillium"/>
          <w:sz w:val="20"/>
          <w:szCs w:val="20"/>
        </w:rPr>
        <w:t>l’</w:t>
      </w:r>
      <w:proofErr w:type="spellStart"/>
      <w:r>
        <w:rPr>
          <w:rFonts w:ascii="Titillium" w:hAnsi="Titillium"/>
          <w:sz w:val="20"/>
          <w:szCs w:val="20"/>
        </w:rPr>
        <w:t>OdV</w:t>
      </w:r>
      <w:proofErr w:type="spellEnd"/>
      <w:r>
        <w:rPr>
          <w:rFonts w:ascii="Titillium" w:hAnsi="Titillium"/>
          <w:sz w:val="20"/>
          <w:szCs w:val="20"/>
        </w:rPr>
        <w:t xml:space="preserve"> </w:t>
      </w:r>
      <w:r w:rsidRPr="006B6F6D">
        <w:rPr>
          <w:rFonts w:ascii="Titillium" w:hAnsi="Titillium"/>
          <w:sz w:val="20"/>
          <w:szCs w:val="20"/>
        </w:rPr>
        <w:t>si è</w:t>
      </w:r>
      <w:r w:rsidR="008552A3">
        <w:rPr>
          <w:rFonts w:ascii="Titillium" w:hAnsi="Titillium"/>
          <w:sz w:val="20"/>
          <w:szCs w:val="20"/>
        </w:rPr>
        <w:t>, quindi,</w:t>
      </w:r>
      <w:r w:rsidRPr="006B6F6D">
        <w:rPr>
          <w:rFonts w:ascii="Titillium" w:hAnsi="Titillium"/>
          <w:sz w:val="20"/>
          <w:szCs w:val="20"/>
        </w:rPr>
        <w:t xml:space="preserve"> riunito</w:t>
      </w:r>
      <w:r w:rsidR="00586620">
        <w:rPr>
          <w:rFonts w:ascii="Titillium" w:hAnsi="Titillium"/>
          <w:sz w:val="20"/>
          <w:szCs w:val="20"/>
        </w:rPr>
        <w:t xml:space="preserve"> per definire e confrontarsi in merito alle attività di verifica effettuate</w:t>
      </w:r>
      <w:r w:rsidRPr="006B6F6D">
        <w:rPr>
          <w:rFonts w:ascii="Titillium" w:hAnsi="Titillium"/>
          <w:sz w:val="20"/>
          <w:szCs w:val="20"/>
        </w:rPr>
        <w:t xml:space="preserve">. </w:t>
      </w:r>
    </w:p>
    <w:p w:rsidR="00293626" w:rsidRDefault="00293626" w:rsidP="00586620">
      <w:pPr>
        <w:pStyle w:val="Default"/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Ultimo atto dell’attività compiuta dall’Organismo di Valutazione è stato la compilazion</w:t>
      </w:r>
      <w:r w:rsidR="001B02FE">
        <w:rPr>
          <w:rFonts w:ascii="Titillium" w:hAnsi="Titillium"/>
          <w:sz w:val="20"/>
          <w:szCs w:val="20"/>
        </w:rPr>
        <w:t>e della Griglia di rilevazione (A</w:t>
      </w:r>
      <w:r>
        <w:rPr>
          <w:rFonts w:ascii="Titillium" w:hAnsi="Titillium"/>
          <w:sz w:val="20"/>
          <w:szCs w:val="20"/>
        </w:rPr>
        <w:t>llegato 2.1.A</w:t>
      </w:r>
      <w:r w:rsidR="001B02FE">
        <w:rPr>
          <w:rFonts w:ascii="Titillium" w:hAnsi="Titillium"/>
          <w:sz w:val="20"/>
          <w:szCs w:val="20"/>
        </w:rPr>
        <w:t>)</w:t>
      </w:r>
      <w:r>
        <w:rPr>
          <w:rFonts w:ascii="Titillium" w:hAnsi="Titillium"/>
          <w:sz w:val="20"/>
          <w:szCs w:val="20"/>
        </w:rPr>
        <w:t>.</w:t>
      </w:r>
    </w:p>
    <w:p w:rsidR="00C27B23" w:rsidRDefault="00586620" w:rsidP="00586620">
      <w:pPr>
        <w:pStyle w:val="Default"/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Si segnal</w:t>
      </w:r>
      <w:r w:rsidR="005B5887">
        <w:rPr>
          <w:rFonts w:ascii="Titillium" w:hAnsi="Titillium"/>
          <w:sz w:val="20"/>
          <w:szCs w:val="20"/>
        </w:rPr>
        <w:t>a</w:t>
      </w:r>
      <w:r>
        <w:rPr>
          <w:rFonts w:ascii="Titillium" w:hAnsi="Titillium"/>
          <w:sz w:val="20"/>
          <w:szCs w:val="20"/>
        </w:rPr>
        <w:t xml:space="preserve"> che</w:t>
      </w:r>
      <w:r w:rsidR="001B02FE">
        <w:rPr>
          <w:rFonts w:ascii="Titillium" w:hAnsi="Titillium"/>
          <w:sz w:val="20"/>
          <w:szCs w:val="20"/>
        </w:rPr>
        <w:t>,</w:t>
      </w:r>
      <w:r>
        <w:rPr>
          <w:rFonts w:ascii="Titillium" w:hAnsi="Titillium"/>
          <w:sz w:val="20"/>
          <w:szCs w:val="20"/>
        </w:rPr>
        <w:t xml:space="preserve"> per la sottosezione “Consulenti e Collaboratori”</w:t>
      </w:r>
      <w:r w:rsidR="001B02FE">
        <w:rPr>
          <w:rFonts w:ascii="Titillium" w:hAnsi="Titillium"/>
          <w:sz w:val="20"/>
          <w:szCs w:val="20"/>
        </w:rPr>
        <w:t>,</w:t>
      </w:r>
      <w:r>
        <w:rPr>
          <w:rFonts w:ascii="Titillium" w:hAnsi="Titillium"/>
          <w:sz w:val="20"/>
          <w:szCs w:val="20"/>
        </w:rPr>
        <w:t xml:space="preserve"> l’attività è stata svolta mediante verifica a campione dei dati presenti.</w:t>
      </w:r>
    </w:p>
    <w:p w:rsidR="005B5887" w:rsidRPr="0041405A" w:rsidRDefault="005B5887" w:rsidP="00586620">
      <w:pPr>
        <w:pStyle w:val="Default"/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Al termine dell’incontro</w:t>
      </w:r>
      <w:r w:rsidR="009D424B">
        <w:rPr>
          <w:rFonts w:ascii="Titillium" w:hAnsi="Titillium"/>
          <w:sz w:val="20"/>
          <w:szCs w:val="20"/>
        </w:rPr>
        <w:t xml:space="preserve"> tenutosi in data 16.06.2022</w:t>
      </w:r>
      <w:bookmarkStart w:id="0" w:name="_GoBack"/>
      <w:bookmarkEnd w:id="0"/>
      <w:r w:rsidR="003E2BC1">
        <w:rPr>
          <w:rFonts w:ascii="Titillium" w:hAnsi="Titillium"/>
          <w:sz w:val="20"/>
          <w:szCs w:val="20"/>
        </w:rPr>
        <w:t xml:space="preserve">, </w:t>
      </w:r>
      <w:r>
        <w:rPr>
          <w:rFonts w:ascii="Titillium" w:hAnsi="Titillium"/>
          <w:sz w:val="20"/>
          <w:szCs w:val="20"/>
        </w:rPr>
        <w:t>l’Organismo</w:t>
      </w:r>
      <w:r w:rsidR="0090661E">
        <w:rPr>
          <w:rFonts w:ascii="Titillium" w:hAnsi="Titillium"/>
          <w:sz w:val="20"/>
          <w:szCs w:val="20"/>
        </w:rPr>
        <w:t xml:space="preserve"> di Valutazione</w:t>
      </w:r>
      <w:r>
        <w:rPr>
          <w:rFonts w:ascii="Titillium" w:hAnsi="Titillium"/>
          <w:sz w:val="20"/>
          <w:szCs w:val="20"/>
        </w:rPr>
        <w:t xml:space="preserve"> ha effettuato la verifica finale ed ha provveduto a rilasciare </w:t>
      </w:r>
      <w:r w:rsidR="001B02FE">
        <w:rPr>
          <w:rFonts w:ascii="Titillium" w:hAnsi="Titillium"/>
          <w:sz w:val="20"/>
          <w:szCs w:val="20"/>
        </w:rPr>
        <w:t xml:space="preserve">il documento di </w:t>
      </w:r>
      <w:r>
        <w:rPr>
          <w:rFonts w:ascii="Titillium" w:hAnsi="Titillium"/>
          <w:sz w:val="20"/>
          <w:szCs w:val="20"/>
        </w:rPr>
        <w:t xml:space="preserve">attestazione di cui alla Delibera </w:t>
      </w:r>
      <w:r w:rsidR="001B02FE">
        <w:rPr>
          <w:rFonts w:ascii="Titillium" w:hAnsi="Titillium"/>
          <w:sz w:val="20"/>
          <w:szCs w:val="20"/>
        </w:rPr>
        <w:t xml:space="preserve">ANAC n. </w:t>
      </w:r>
      <w:r>
        <w:rPr>
          <w:rFonts w:ascii="Titillium" w:hAnsi="Titillium"/>
          <w:sz w:val="20"/>
          <w:szCs w:val="20"/>
        </w:rPr>
        <w:t>201/2022</w:t>
      </w:r>
      <w:r w:rsidR="0090661E">
        <w:rPr>
          <w:rFonts w:ascii="Titillium" w:hAnsi="Titillium"/>
          <w:sz w:val="20"/>
          <w:szCs w:val="20"/>
        </w:rPr>
        <w:t xml:space="preserve"> (Allegato n. 1.1)</w:t>
      </w:r>
      <w:r>
        <w:rPr>
          <w:rFonts w:ascii="Titillium" w:hAnsi="Titillium"/>
          <w:sz w:val="20"/>
          <w:szCs w:val="20"/>
        </w:rPr>
        <w:t>.</w:t>
      </w:r>
    </w:p>
    <w:p w:rsidR="008552A3" w:rsidRDefault="008552A3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C27B23" w:rsidRDefault="00586620">
      <w:pPr>
        <w:spacing w:line="360" w:lineRule="auto"/>
        <w:rPr>
          <w:rFonts w:ascii="Titillium" w:hAnsi="Titillium"/>
          <w:sz w:val="20"/>
          <w:szCs w:val="20"/>
        </w:rPr>
      </w:pPr>
      <w:r w:rsidRPr="00586620">
        <w:rPr>
          <w:rFonts w:ascii="Titillium" w:hAnsi="Titillium"/>
          <w:sz w:val="20"/>
          <w:szCs w:val="20"/>
        </w:rPr>
        <w:t xml:space="preserve">Con riferimento alla </w:t>
      </w:r>
      <w:r w:rsidR="0090661E">
        <w:rPr>
          <w:rFonts w:ascii="Titillium" w:hAnsi="Titillium"/>
          <w:sz w:val="20"/>
          <w:szCs w:val="20"/>
        </w:rPr>
        <w:t>sezione “Consulenti e C</w:t>
      </w:r>
      <w:r w:rsidRPr="00586620">
        <w:rPr>
          <w:rFonts w:ascii="Titillium" w:hAnsi="Titillium"/>
          <w:sz w:val="20"/>
          <w:szCs w:val="20"/>
        </w:rPr>
        <w:t xml:space="preserve">ollaboratori” </w:t>
      </w:r>
      <w:r>
        <w:rPr>
          <w:rFonts w:ascii="Titillium" w:hAnsi="Titillium"/>
          <w:sz w:val="20"/>
          <w:szCs w:val="20"/>
        </w:rPr>
        <w:t xml:space="preserve">non </w:t>
      </w:r>
      <w:r w:rsidRPr="00586620">
        <w:rPr>
          <w:rFonts w:ascii="Titillium" w:hAnsi="Titillium"/>
          <w:sz w:val="20"/>
          <w:szCs w:val="20"/>
        </w:rPr>
        <w:t xml:space="preserve">è stato possibile </w:t>
      </w:r>
      <w:r w:rsidRPr="00586620">
        <w:rPr>
          <w:rFonts w:ascii="Titillium" w:hAnsi="Titillium"/>
          <w:sz w:val="20"/>
          <w:szCs w:val="20"/>
        </w:rPr>
        <w:lastRenderedPageBreak/>
        <w:t>verificare il dato relativo alla comunicazione alla Funzione Pubblica</w:t>
      </w:r>
      <w:r>
        <w:rPr>
          <w:rFonts w:ascii="Titillium" w:hAnsi="Titillium"/>
          <w:sz w:val="20"/>
          <w:szCs w:val="20"/>
        </w:rPr>
        <w:t xml:space="preserve">, non essendo previsto </w:t>
      </w:r>
      <w:r w:rsidR="0090661E">
        <w:rPr>
          <w:rFonts w:ascii="Titillium" w:hAnsi="Titillium"/>
          <w:sz w:val="20"/>
          <w:szCs w:val="20"/>
        </w:rPr>
        <w:t xml:space="preserve"> nella sotto</w:t>
      </w:r>
      <w:r>
        <w:rPr>
          <w:rFonts w:ascii="Titillium" w:hAnsi="Titillium"/>
          <w:sz w:val="20"/>
          <w:szCs w:val="20"/>
        </w:rPr>
        <w:t>se</w:t>
      </w:r>
      <w:r w:rsidR="001B02FE">
        <w:rPr>
          <w:rFonts w:ascii="Titillium" w:hAnsi="Titillium"/>
          <w:sz w:val="20"/>
          <w:szCs w:val="20"/>
        </w:rPr>
        <w:t xml:space="preserve">zione il rinvio, </w:t>
      </w:r>
      <w:r>
        <w:rPr>
          <w:rFonts w:ascii="Titillium" w:hAnsi="Titillium"/>
          <w:sz w:val="20"/>
          <w:szCs w:val="20"/>
        </w:rPr>
        <w:t>né il caricamento in allegato.</w:t>
      </w:r>
    </w:p>
    <w:p w:rsidR="00586620" w:rsidRDefault="00586620">
      <w:pPr>
        <w:spacing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Nella sezione “Altri Contenuti” si registra la mancata predisposizione di app</w:t>
      </w:r>
      <w:r w:rsidR="001B02FE">
        <w:rPr>
          <w:rFonts w:ascii="Titillium" w:hAnsi="Titillium"/>
          <w:sz w:val="20"/>
          <w:szCs w:val="20"/>
        </w:rPr>
        <w:t>osita sottosezione dedicata ai provvedimenti adottati dall’ANAC nonché agli a</w:t>
      </w:r>
      <w:r>
        <w:rPr>
          <w:rFonts w:ascii="Titillium" w:hAnsi="Titillium"/>
          <w:sz w:val="20"/>
          <w:szCs w:val="20"/>
        </w:rPr>
        <w:t xml:space="preserve">tti di accertamento delle violazioni alle disposizioni di cui al </w:t>
      </w:r>
      <w:proofErr w:type="spellStart"/>
      <w:r>
        <w:rPr>
          <w:rFonts w:ascii="Titillium" w:hAnsi="Titillium"/>
          <w:sz w:val="20"/>
          <w:szCs w:val="20"/>
        </w:rPr>
        <w:t>D.Lgs.</w:t>
      </w:r>
      <w:proofErr w:type="spellEnd"/>
      <w:r>
        <w:rPr>
          <w:rFonts w:ascii="Titillium" w:hAnsi="Titillium"/>
          <w:sz w:val="20"/>
          <w:szCs w:val="20"/>
        </w:rPr>
        <w:t xml:space="preserve"> 39/2013</w:t>
      </w:r>
      <w:r w:rsidR="00293626">
        <w:rPr>
          <w:rFonts w:ascii="Titillium" w:hAnsi="Titillium"/>
          <w:sz w:val="20"/>
          <w:szCs w:val="20"/>
        </w:rPr>
        <w:t>.</w:t>
      </w:r>
    </w:p>
    <w:p w:rsidR="008A0378" w:rsidRDefault="00293626">
      <w:pPr>
        <w:spacing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Ai sensi del paragrafo 4 della delibera </w:t>
      </w:r>
      <w:r w:rsidR="001B02FE">
        <w:rPr>
          <w:rFonts w:ascii="Titillium" w:hAnsi="Titillium"/>
          <w:sz w:val="20"/>
          <w:szCs w:val="20"/>
        </w:rPr>
        <w:t xml:space="preserve">ANAC n. </w:t>
      </w:r>
      <w:r>
        <w:rPr>
          <w:rFonts w:ascii="Titillium" w:hAnsi="Titillium"/>
          <w:sz w:val="20"/>
          <w:szCs w:val="20"/>
        </w:rPr>
        <w:t>201/2022 sarà cura del RPCT dell’Ente assumere le iniziative volte al superamento delle criticità rilevate entro il 31/10/2022</w:t>
      </w:r>
      <w:r w:rsidR="0090661E">
        <w:rPr>
          <w:rFonts w:ascii="Titillium" w:hAnsi="Titillium"/>
          <w:sz w:val="20"/>
          <w:szCs w:val="20"/>
        </w:rPr>
        <w:t xml:space="preserve">, </w:t>
      </w:r>
      <w:r w:rsidR="008B792E">
        <w:rPr>
          <w:rFonts w:ascii="Titillium" w:hAnsi="Titillium"/>
          <w:sz w:val="20"/>
          <w:szCs w:val="20"/>
        </w:rPr>
        <w:t>per favorire l’attività di monitoraggio di questo Organismo.</w:t>
      </w:r>
    </w:p>
    <w:p w:rsidR="008B792E" w:rsidRPr="0041405A" w:rsidRDefault="008B792E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:rsidR="005B5887" w:rsidRDefault="005B5887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-/-/-/</w:t>
      </w:r>
    </w:p>
    <w:p w:rsidR="008552A3" w:rsidRDefault="008552A3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p w:rsidR="005B5887" w:rsidRDefault="005B5887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p w:rsidR="001B02FE" w:rsidRPr="001B02FE" w:rsidRDefault="001B02FE" w:rsidP="001B02FE">
      <w:pPr>
        <w:spacing w:line="360" w:lineRule="auto"/>
        <w:rPr>
          <w:rFonts w:ascii="Titillium" w:hAnsi="Titillium"/>
          <w:sz w:val="20"/>
          <w:szCs w:val="20"/>
        </w:rPr>
      </w:pPr>
      <w:r w:rsidRPr="001B02FE">
        <w:rPr>
          <w:rFonts w:ascii="Titillium" w:hAnsi="Titillium"/>
          <w:sz w:val="20"/>
          <w:szCs w:val="20"/>
        </w:rPr>
        <w:t>Bari, li 16 giugno 2022</w:t>
      </w:r>
    </w:p>
    <w:p w:rsidR="001B02FE" w:rsidRPr="001B02FE" w:rsidRDefault="001B02FE" w:rsidP="001B02FE">
      <w:pPr>
        <w:spacing w:line="360" w:lineRule="auto"/>
        <w:rPr>
          <w:rFonts w:ascii="Titillium" w:hAnsi="Titillium"/>
          <w:sz w:val="20"/>
          <w:szCs w:val="20"/>
        </w:rPr>
      </w:pPr>
    </w:p>
    <w:p w:rsidR="001B02FE" w:rsidRPr="001B02FE" w:rsidRDefault="001B02FE" w:rsidP="001B02FE">
      <w:pPr>
        <w:spacing w:line="360" w:lineRule="auto"/>
        <w:jc w:val="center"/>
        <w:rPr>
          <w:rFonts w:ascii="Titillium" w:hAnsi="Titillium"/>
          <w:sz w:val="20"/>
          <w:szCs w:val="20"/>
        </w:rPr>
      </w:pPr>
      <w:r w:rsidRPr="001B02FE">
        <w:rPr>
          <w:rFonts w:ascii="Titillium" w:hAnsi="Titillium"/>
          <w:sz w:val="20"/>
          <w:szCs w:val="20"/>
        </w:rPr>
        <w:t>L’Organismo di Valutazione</w:t>
      </w:r>
    </w:p>
    <w:p w:rsidR="001B02FE" w:rsidRPr="001B02FE" w:rsidRDefault="001B02FE" w:rsidP="001B02FE">
      <w:pPr>
        <w:spacing w:line="360" w:lineRule="auto"/>
        <w:rPr>
          <w:rFonts w:ascii="Titillium" w:hAnsi="Titillium"/>
          <w:sz w:val="20"/>
          <w:szCs w:val="20"/>
        </w:rPr>
      </w:pPr>
      <w:r w:rsidRPr="001B02FE">
        <w:rPr>
          <w:rFonts w:ascii="Titillium" w:hAnsi="Titillium"/>
          <w:sz w:val="20"/>
          <w:szCs w:val="20"/>
        </w:rPr>
        <w:t xml:space="preserve">  Il Componente               Il Presidente                  Il Componente</w:t>
      </w:r>
    </w:p>
    <w:p w:rsidR="001B02FE" w:rsidRPr="001B02FE" w:rsidRDefault="001B02FE" w:rsidP="001B02FE">
      <w:pPr>
        <w:spacing w:line="360" w:lineRule="auto"/>
        <w:rPr>
          <w:rFonts w:ascii="Titillium" w:hAnsi="Titillium"/>
          <w:b/>
          <w:sz w:val="20"/>
          <w:szCs w:val="20"/>
        </w:rPr>
      </w:pPr>
      <w:r w:rsidRPr="001B02FE">
        <w:rPr>
          <w:rFonts w:ascii="Titillium" w:hAnsi="Titillium"/>
          <w:b/>
          <w:sz w:val="20"/>
          <w:szCs w:val="20"/>
        </w:rPr>
        <w:t>Stella LAFORGIA</w:t>
      </w:r>
      <w:r w:rsidRPr="001B02FE">
        <w:rPr>
          <w:rFonts w:ascii="Titillium" w:hAnsi="Titillium"/>
          <w:b/>
          <w:sz w:val="20"/>
          <w:szCs w:val="20"/>
        </w:rPr>
        <w:tab/>
        <w:t xml:space="preserve">            Achille CIPPONE               Angelo PUGLIESE</w:t>
      </w:r>
    </w:p>
    <w:p w:rsidR="001B02FE" w:rsidRPr="001B02FE" w:rsidRDefault="001B02FE" w:rsidP="001B02FE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  <w:r w:rsidRPr="001B02FE">
        <w:rPr>
          <w:rFonts w:ascii="Titillium" w:hAnsi="Titillium"/>
          <w:b/>
          <w:i/>
          <w:sz w:val="20"/>
          <w:szCs w:val="20"/>
        </w:rPr>
        <w:t xml:space="preserve"> (Firmato)</w:t>
      </w:r>
      <w:r w:rsidRPr="001B02FE">
        <w:rPr>
          <w:rFonts w:ascii="Titillium" w:hAnsi="Titillium"/>
          <w:b/>
          <w:i/>
          <w:sz w:val="20"/>
          <w:szCs w:val="20"/>
        </w:rPr>
        <w:tab/>
        <w:t xml:space="preserve">                    (Firmato)</w:t>
      </w:r>
      <w:r w:rsidRPr="001B02FE">
        <w:rPr>
          <w:rFonts w:ascii="Titillium" w:hAnsi="Titillium"/>
          <w:b/>
          <w:i/>
          <w:sz w:val="20"/>
          <w:szCs w:val="20"/>
        </w:rPr>
        <w:tab/>
        <w:t xml:space="preserve">                      (Firmato</w:t>
      </w:r>
      <w:r w:rsidRPr="001B02FE">
        <w:rPr>
          <w:rFonts w:ascii="Titillium" w:hAnsi="Titillium"/>
          <w:b/>
          <w:sz w:val="20"/>
          <w:szCs w:val="20"/>
        </w:rPr>
        <w:t>)</w:t>
      </w:r>
      <w:r w:rsidRPr="001B02FE">
        <w:rPr>
          <w:rFonts w:ascii="Titillium" w:hAnsi="Titillium"/>
          <w:b/>
          <w:sz w:val="20"/>
          <w:szCs w:val="20"/>
          <w:u w:val="single"/>
        </w:rPr>
        <w:t xml:space="preserve">                </w:t>
      </w:r>
    </w:p>
    <w:p w:rsidR="005B5887" w:rsidRPr="001B02FE" w:rsidRDefault="005B5887">
      <w:pPr>
        <w:spacing w:line="360" w:lineRule="auto"/>
        <w:rPr>
          <w:rFonts w:ascii="Titillium" w:hAnsi="Titillium"/>
          <w:sz w:val="20"/>
          <w:szCs w:val="20"/>
        </w:rPr>
      </w:pPr>
    </w:p>
    <w:sectPr w:rsidR="005B5887" w:rsidRPr="001B02FE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CF" w:rsidRDefault="00046FCF">
      <w:pPr>
        <w:spacing w:after="0" w:line="240" w:lineRule="auto"/>
      </w:pPr>
      <w:r>
        <w:separator/>
      </w:r>
    </w:p>
  </w:endnote>
  <w:endnote w:type="continuationSeparator" w:id="0">
    <w:p w:rsidR="00046FCF" w:rsidRDefault="0004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Liberation Mono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CF" w:rsidRDefault="00046FCF">
      <w:pPr>
        <w:spacing w:after="0" w:line="240" w:lineRule="auto"/>
      </w:pPr>
      <w:r>
        <w:separator/>
      </w:r>
    </w:p>
  </w:footnote>
  <w:footnote w:type="continuationSeparator" w:id="0">
    <w:p w:rsidR="00046FCF" w:rsidRDefault="00046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5B5887" w:rsidP="0085206C">
    <w:pPr>
      <w:pStyle w:val="Intestazione"/>
      <w:tabs>
        <w:tab w:val="left" w:pos="3878"/>
      </w:tabs>
      <w:rPr>
        <w:rFonts w:ascii="Garamond" w:hAnsi="Garamond"/>
        <w:b/>
      </w:rPr>
    </w:pPr>
    <w:r w:rsidRPr="008C0EC8">
      <w:rPr>
        <w:rFonts w:ascii="Titillium" w:hAnsi="Titillium" w:cs="Times New Roman"/>
        <w:b/>
        <w:bCs/>
        <w:noProof/>
        <w:sz w:val="20"/>
        <w:szCs w:val="20"/>
        <w:lang w:eastAsia="it-IT"/>
      </w:rPr>
      <w:drawing>
        <wp:inline distT="0" distB="0" distL="0" distR="0" wp14:anchorId="0C440766" wp14:editId="28DC7F71">
          <wp:extent cx="1627497" cy="118262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7497" cy="1182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aramond" w:hAnsi="Garamond"/>
        <w:b/>
      </w:rPr>
      <w:t xml:space="preserve"> </w:t>
    </w:r>
    <w:r w:rsidRPr="008C0EC8">
      <w:rPr>
        <w:rFonts w:ascii="Titillium" w:hAnsi="Titillium" w:cs="Times New Roman"/>
        <w:b/>
        <w:bCs/>
        <w:sz w:val="20"/>
        <w:szCs w:val="20"/>
      </w:rPr>
      <w:t>Organismo di Valutazione</w:t>
    </w:r>
    <w:r w:rsidR="0085206C">
      <w:rPr>
        <w:rFonts w:ascii="Garamond" w:hAnsi="Garamond"/>
        <w:b/>
      </w:rPr>
      <w:tab/>
    </w:r>
    <w:r w:rsidR="0085206C">
      <w:rPr>
        <w:rFonts w:ascii="Garamond" w:hAnsi="Garamond"/>
        <w:b/>
      </w:rPr>
      <w:tab/>
    </w:r>
  </w:p>
  <w:p w:rsidR="005B5887" w:rsidRDefault="005B5887" w:rsidP="006E496C">
    <w:pPr>
      <w:pStyle w:val="Intestazione"/>
      <w:jc w:val="right"/>
      <w:rPr>
        <w:rFonts w:ascii="Titillium" w:hAnsi="Titillium"/>
        <w:b/>
        <w:sz w:val="20"/>
        <w:szCs w:val="20"/>
      </w:rPr>
    </w:pPr>
  </w:p>
  <w:p w:rsidR="005B5887" w:rsidRDefault="005B5887" w:rsidP="006E496C">
    <w:pPr>
      <w:pStyle w:val="Intestazione"/>
      <w:jc w:val="right"/>
      <w:rPr>
        <w:rFonts w:ascii="Titillium" w:hAnsi="Titillium"/>
        <w:b/>
        <w:sz w:val="20"/>
        <w:szCs w:val="20"/>
      </w:rPr>
    </w:pP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0B284A92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040F20"/>
    <w:rsid w:val="00046FCF"/>
    <w:rsid w:val="000E0B8B"/>
    <w:rsid w:val="000F2C0E"/>
    <w:rsid w:val="0016468A"/>
    <w:rsid w:val="001B02FE"/>
    <w:rsid w:val="0024134D"/>
    <w:rsid w:val="00257242"/>
    <w:rsid w:val="00266A2A"/>
    <w:rsid w:val="00293626"/>
    <w:rsid w:val="002A4F93"/>
    <w:rsid w:val="002C572E"/>
    <w:rsid w:val="003E1CF5"/>
    <w:rsid w:val="003E2BC1"/>
    <w:rsid w:val="0041405A"/>
    <w:rsid w:val="00416AD0"/>
    <w:rsid w:val="0048249A"/>
    <w:rsid w:val="004833D5"/>
    <w:rsid w:val="004F18CD"/>
    <w:rsid w:val="00506EFE"/>
    <w:rsid w:val="0054516B"/>
    <w:rsid w:val="005752C3"/>
    <w:rsid w:val="00586620"/>
    <w:rsid w:val="005B5887"/>
    <w:rsid w:val="0060106A"/>
    <w:rsid w:val="0061233D"/>
    <w:rsid w:val="006B6F6D"/>
    <w:rsid w:val="006E496C"/>
    <w:rsid w:val="007052EA"/>
    <w:rsid w:val="00713BFD"/>
    <w:rsid w:val="007A107C"/>
    <w:rsid w:val="00837860"/>
    <w:rsid w:val="0085206C"/>
    <w:rsid w:val="008552A3"/>
    <w:rsid w:val="00861FE1"/>
    <w:rsid w:val="00886D67"/>
    <w:rsid w:val="008A0378"/>
    <w:rsid w:val="008B792E"/>
    <w:rsid w:val="0090661E"/>
    <w:rsid w:val="00940307"/>
    <w:rsid w:val="00955140"/>
    <w:rsid w:val="009A5646"/>
    <w:rsid w:val="009C05D1"/>
    <w:rsid w:val="009C6FAC"/>
    <w:rsid w:val="009D424B"/>
    <w:rsid w:val="00A52DF7"/>
    <w:rsid w:val="00AF790D"/>
    <w:rsid w:val="00BF1A20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rsid w:val="005B5887"/>
    <w:pPr>
      <w:pageBreakBefore/>
      <w:numPr>
        <w:numId w:val="1"/>
      </w:numPr>
      <w:spacing w:before="240" w:after="240"/>
      <w:jc w:val="center"/>
      <w:outlineLvl w:val="0"/>
    </w:pPr>
    <w:rPr>
      <w:rFonts w:ascii="Titillium" w:hAnsi="Titillium" w:cs="Times New Roman"/>
      <w:b/>
      <w:bCs/>
      <w:i/>
      <w:sz w:val="20"/>
      <w:szCs w:val="20"/>
      <w:u w:val="single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rsid w:val="005B5887"/>
    <w:pPr>
      <w:pageBreakBefore/>
      <w:numPr>
        <w:numId w:val="1"/>
      </w:numPr>
      <w:spacing w:before="240" w:after="240"/>
      <w:jc w:val="center"/>
      <w:outlineLvl w:val="0"/>
    </w:pPr>
    <w:rPr>
      <w:rFonts w:ascii="Titillium" w:hAnsi="Titillium" w:cs="Times New Roman"/>
      <w:b/>
      <w:bCs/>
      <w:i/>
      <w:sz w:val="20"/>
      <w:szCs w:val="20"/>
      <w:u w:val="single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400A2-7425-4321-808F-E9B5F04D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Germinario Chiara</cp:lastModifiedBy>
  <cp:revision>12</cp:revision>
  <cp:lastPrinted>2018-02-28T15:30:00Z</cp:lastPrinted>
  <dcterms:created xsi:type="dcterms:W3CDTF">2022-05-09T11:30:00Z</dcterms:created>
  <dcterms:modified xsi:type="dcterms:W3CDTF">2022-06-16T08:45:00Z</dcterms:modified>
</cp:coreProperties>
</file>