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3"/>
        </w:rPr>
      </w:pPr>
      <w:r>
        <w:rPr>
          <w:sz w:val="24"/>
          <w:szCs w:val="23"/>
        </w:rPr>
        <w:t>ALLEGATO ALLA DELIBERA DI INDIRIZZO AL BILANCIO PARTECIPATO (art.60)</w:t>
      </w:r>
    </w:p>
    <w:p>
      <w:pPr>
        <w:pStyle w:val="Normal"/>
        <w:spacing w:before="0" w:after="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In ottemperanza al Regolamento Istitutivo dei Municipi art. 60 e al Regolamento interno del Municipio 1 art. 7; in data 31 agosto 2019 con la pubblicazione e condivisione </w:t>
      </w:r>
      <w:r>
        <w:rPr>
          <w:i/>
          <w:sz w:val="24"/>
          <w:szCs w:val="23"/>
        </w:rPr>
        <w:t>on line</w:t>
      </w:r>
      <w:r>
        <w:rPr>
          <w:sz w:val="24"/>
          <w:szCs w:val="23"/>
        </w:rPr>
        <w:t xml:space="preserve"> della proposta di “bilancio partecipato 2019” ha preso vita la formazione del bilancio partecipato anno 2019. La stessa si è conclusa in data 29 ottobre 2019 con l’incontro pubblico presso la sala conferenze del Municipio 1. </w:t>
      </w:r>
    </w:p>
    <w:p>
      <w:pPr>
        <w:pStyle w:val="Default"/>
        <w:jc w:val="both"/>
        <w:rPr>
          <w:rFonts w:ascii="Calibri" w:hAnsi="Calibri" w:cs="" w:asciiTheme="minorHAnsi" w:cstheme="minorBidi" w:hAnsiTheme="minorHAnsi"/>
          <w:color w:val="00000A"/>
          <w:szCs w:val="23"/>
        </w:rPr>
      </w:pPr>
      <w:r>
        <w:rPr>
          <w:rFonts w:cs="" w:ascii="Calibri" w:hAnsi="Calibri" w:asciiTheme="minorHAnsi" w:cstheme="minorBidi" w:hAnsiTheme="minorHAnsi"/>
          <w:color w:val="00000A"/>
          <w:szCs w:val="23"/>
        </w:rPr>
        <w:t>Dopo aver individuato i programmi da realizzare, le linee di spesa, gli obiettivi da perseguire e le priorità degli interventi da realizzare in relazione ai bisogni dei territori, il consiglio delibera il seguente indirizzo al bilancio partecipato che saranno di seguito elencati suddivisi per aree tematiche.</w:t>
      </w:r>
    </w:p>
    <w:p>
      <w:pPr>
        <w:pStyle w:val="Default"/>
        <w:jc w:val="both"/>
        <w:rPr>
          <w:rFonts w:ascii="Calibri" w:hAnsi="Calibri" w:cs="" w:asciiTheme="minorHAnsi" w:cstheme="minorBidi" w:hAnsiTheme="minorHAnsi"/>
          <w:color w:val="00000A"/>
          <w:szCs w:val="23"/>
        </w:rPr>
      </w:pPr>
      <w:r>
        <w:rPr>
          <w:rFonts w:cs="" w:cstheme="minorBidi" w:ascii="Calibri" w:hAnsi="Calibri"/>
          <w:color w:val="00000A"/>
          <w:szCs w:val="23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b/>
          <w:b/>
          <w:szCs w:val="23"/>
        </w:rPr>
      </w:pPr>
      <w:r>
        <w:rPr>
          <w:b/>
          <w:szCs w:val="23"/>
        </w:rPr>
        <w:t>Lavori Pubblici, mobilità e viabilità del Municipio 1:</w:t>
      </w:r>
    </w:p>
    <w:p>
      <w:pPr>
        <w:pStyle w:val="Default"/>
        <w:jc w:val="both"/>
        <w:rPr>
          <w:rFonts w:ascii="Calibri" w:hAnsi="Calibri" w:cs="" w:asciiTheme="minorHAnsi" w:cstheme="minorBidi" w:hAnsiTheme="minorHAnsi"/>
          <w:color w:val="00000A"/>
          <w:szCs w:val="23"/>
        </w:rPr>
      </w:pPr>
      <w:r>
        <w:rPr>
          <w:rFonts w:cs="" w:cstheme="minorBidi" w:ascii="Calibri" w:hAnsi="Calibri"/>
          <w:color w:val="00000A"/>
          <w:szCs w:val="23"/>
        </w:rPr>
      </w:r>
    </w:p>
    <w:p>
      <w:pPr>
        <w:pStyle w:val="Normal"/>
        <w:tabs>
          <w:tab w:val="left" w:pos="851" w:leader="none"/>
        </w:tabs>
        <w:ind w:left="66" w:firstLine="360"/>
        <w:jc w:val="both"/>
        <w:rPr>
          <w:i/>
          <w:i/>
          <w:sz w:val="24"/>
          <w:szCs w:val="24"/>
          <w:u w:val="single"/>
        </w:rPr>
      </w:pPr>
      <w:r>
        <w:rPr>
          <w:sz w:val="24"/>
          <w:szCs w:val="24"/>
        </w:rPr>
        <w:t>1)</w:t>
        <w:tab/>
      </w:r>
      <w:r>
        <w:rPr>
          <w:i/>
          <w:sz w:val="24"/>
          <w:szCs w:val="24"/>
          <w:u w:val="single"/>
        </w:rPr>
        <w:t>Realizzazione del muretto e marciapiede in strada detta della Marina.</w:t>
      </w:r>
    </w:p>
    <w:p>
      <w:pPr>
        <w:pStyle w:val="Normal"/>
        <w:tabs>
          <w:tab w:val="left" w:pos="851" w:leader="none"/>
        </w:tabs>
        <w:spacing w:before="0" w:after="120"/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  <w:t>Linea di spesa non definito.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/>
      </w:pPr>
      <w:r>
        <w:rPr>
          <w:sz w:val="24"/>
          <w:szCs w:val="24"/>
        </w:rPr>
        <w:t>Completare l’opera pubblica iniziata nel 2017 necessaria a garantire la viabilità pedonale in strada detta della Marina e la sicurezza della viabilità automobilistica quando vi sono mareggiate violenta.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76" w:leader="none"/>
        </w:tabs>
        <w:ind w:left="851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2)</w:t>
        <w:tab/>
      </w:r>
      <w:r>
        <w:rPr>
          <w:i/>
          <w:sz w:val="24"/>
          <w:szCs w:val="24"/>
          <w:u w:val="single"/>
        </w:rPr>
        <w:t>Progettazione e realizzazione della viabilità carrabile e ciclopedonale di collegamento del quartiere Sant’Anna con Strada Cannone.</w:t>
      </w:r>
    </w:p>
    <w:p>
      <w:pPr>
        <w:pStyle w:val="Normal"/>
        <w:tabs>
          <w:tab w:val="left" w:pos="851" w:leader="none"/>
        </w:tabs>
        <w:spacing w:before="0" w:after="120"/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  <w:t>Linea di spesa non definito.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/>
      </w:pPr>
      <w:r>
        <w:rPr>
          <w:sz w:val="24"/>
          <w:szCs w:val="24"/>
        </w:rPr>
        <w:t xml:space="preserve">Garantire una viabilità alternativa al quartiere oggi asservita solo accesso in ingresso/uscita da via Prayer.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Normal"/>
        <w:tabs>
          <w:tab w:val="left" w:pos="851" w:leader="none"/>
        </w:tabs>
        <w:spacing w:before="0" w:after="120"/>
        <w:ind w:left="425" w:hanging="0"/>
        <w:jc w:val="both"/>
        <w:rPr/>
      </w:pPr>
      <w:r>
        <w:rPr>
          <w:sz w:val="24"/>
          <w:szCs w:val="23"/>
        </w:rPr>
        <w:t>3)</w:t>
        <w:tab/>
      </w:r>
      <w:r>
        <w:rPr>
          <w:i/>
          <w:sz w:val="24"/>
          <w:szCs w:val="23"/>
          <w:u w:val="single"/>
        </w:rPr>
        <w:t>Progettazione e riqualificazione dell’intersezione di</w:t>
      </w:r>
      <w:r>
        <w:rPr>
          <w:b/>
          <w:bCs/>
          <w:i/>
          <w:sz w:val="24"/>
          <w:szCs w:val="23"/>
          <w:u w:val="single"/>
        </w:rPr>
        <w:t xml:space="preserve"> </w:t>
      </w:r>
      <w:r>
        <w:rPr>
          <w:bCs/>
          <w:i/>
          <w:sz w:val="24"/>
          <w:szCs w:val="23"/>
          <w:u w:val="single"/>
        </w:rPr>
        <w:t>Masianello/Peucetia/del Conte.</w:t>
      </w:r>
    </w:p>
    <w:p>
      <w:pPr>
        <w:pStyle w:val="Normal"/>
        <w:tabs>
          <w:tab w:val="left" w:pos="851" w:leader="none"/>
        </w:tabs>
        <w:spacing w:before="0" w:after="12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Linea di spesa non definito.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Migliorare la sicurezza stradale. Intervento necessaria vista la configurazione della carreggiata stradale che rende poco sicura la stessa a causa delle eccessive dimensioni dell’incrocio. </w:t>
      </w:r>
    </w:p>
    <w:p>
      <w:pPr>
        <w:pStyle w:val="Normal"/>
        <w:tabs>
          <w:tab w:val="left" w:pos="851" w:leader="none"/>
        </w:tabs>
        <w:spacing w:before="0" w:after="0"/>
        <w:ind w:left="426" w:firstLine="425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Normal"/>
        <w:tabs>
          <w:tab w:val="left" w:pos="851" w:leader="none"/>
        </w:tabs>
        <w:spacing w:before="0" w:after="120"/>
        <w:ind w:left="851" w:hanging="425"/>
        <w:jc w:val="both"/>
        <w:rPr/>
      </w:pPr>
      <w:r>
        <w:rPr>
          <w:sz w:val="24"/>
          <w:szCs w:val="23"/>
        </w:rPr>
        <w:t>4)</w:t>
        <w:tab/>
      </w:r>
      <w:r>
        <w:rPr>
          <w:i/>
          <w:sz w:val="24"/>
          <w:szCs w:val="23"/>
          <w:u w:val="single"/>
        </w:rPr>
        <w:t>Progettazione e riqualificazione dell’intersezione di via Oberdan con via Caldarola.</w:t>
      </w:r>
      <w:r>
        <w:rPr>
          <w:sz w:val="24"/>
          <w:szCs w:val="23"/>
        </w:rPr>
        <w:t xml:space="preserve"> </w:t>
      </w:r>
    </w:p>
    <w:p>
      <w:pPr>
        <w:pStyle w:val="Normal"/>
        <w:tabs>
          <w:tab w:val="left" w:pos="851" w:leader="none"/>
        </w:tabs>
        <w:spacing w:before="0" w:after="12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Linea di spesa non definito.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Migliorare la sicurezza stradale. Intervento necessaria vista la configurazione della carreggiata stradale che rende poco sicura la stessa a causa delle eccessive dimensioni dell’incrocio.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Normal"/>
        <w:tabs>
          <w:tab w:val="left" w:pos="851" w:leader="none"/>
        </w:tabs>
        <w:spacing w:before="0" w:after="120"/>
        <w:ind w:left="851" w:hanging="425"/>
        <w:jc w:val="both"/>
        <w:rPr/>
      </w:pPr>
      <w:r>
        <w:rPr>
          <w:sz w:val="24"/>
          <w:szCs w:val="23"/>
        </w:rPr>
        <w:t>5)</w:t>
        <w:tab/>
      </w:r>
      <w:r>
        <w:rPr>
          <w:i/>
          <w:sz w:val="24"/>
          <w:szCs w:val="23"/>
          <w:u w:val="single"/>
        </w:rPr>
        <w:t>Progettazione e realizzazione</w:t>
      </w:r>
      <w:r>
        <w:rPr>
          <w:bCs/>
          <w:i/>
          <w:sz w:val="24"/>
          <w:szCs w:val="23"/>
          <w:u w:val="single"/>
        </w:rPr>
        <w:t xml:space="preserve"> della rotatoria in corso Cavour vicinanze teatro Margherita.</w:t>
      </w:r>
      <w:r>
        <w:rPr>
          <w:sz w:val="24"/>
          <w:szCs w:val="23"/>
          <w:u w:val="wave"/>
        </w:rPr>
        <w:t xml:space="preserve"> </w:t>
      </w:r>
    </w:p>
    <w:p>
      <w:pPr>
        <w:pStyle w:val="Normal"/>
        <w:tabs>
          <w:tab w:val="left" w:pos="851" w:leader="none"/>
        </w:tabs>
        <w:spacing w:before="0" w:after="12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Linea di spesa non definito.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Migliorare la sicurezza stradale. Intervento necessaria vista la presenza del nascente polo dell’arte contemporanea.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Default"/>
        <w:rPr>
          <w:rFonts w:ascii="Calibri" w:hAnsi="Calibri" w:cs="" w:asciiTheme="minorHAnsi" w:cstheme="minorBidi" w:hAnsiTheme="minorHAnsi"/>
          <w:color w:val="00000A"/>
          <w:szCs w:val="23"/>
        </w:rPr>
      </w:pPr>
      <w:r>
        <w:rPr>
          <w:rFonts w:cs="" w:cstheme="minorBidi" w:ascii="Calibri" w:hAnsi="Calibri"/>
          <w:color w:val="00000A"/>
          <w:szCs w:val="23"/>
        </w:rPr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b/>
          <w:b/>
          <w:szCs w:val="23"/>
        </w:rPr>
      </w:pPr>
      <w:r>
        <w:rPr>
          <w:b/>
          <w:szCs w:val="23"/>
        </w:rPr>
        <w:t>Spazi verdi e aree verdi del Municipio 1:</w:t>
      </w:r>
    </w:p>
    <w:p>
      <w:pPr>
        <w:pStyle w:val="ListParagraph"/>
        <w:ind w:left="426" w:hanging="0"/>
        <w:jc w:val="both"/>
        <w:rPr>
          <w:b/>
          <w:b/>
          <w:szCs w:val="23"/>
        </w:rPr>
      </w:pPr>
      <w:r>
        <w:rPr>
          <w:b/>
          <w:szCs w:val="23"/>
        </w:rPr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120"/>
        <w:ind w:left="850" w:hanging="425"/>
        <w:jc w:val="both"/>
        <w:rPr>
          <w:rFonts w:ascii="Calibri" w:hAnsi="Calibri" w:eastAsia="Calibri" w:cs="" w:asciiTheme="minorHAnsi" w:cstheme="minorBidi" w:eastAsiaTheme="minorHAnsi" w:hAnsiTheme="minorHAnsi"/>
          <w:i/>
          <w:i/>
          <w:szCs w:val="23"/>
          <w:u w:val="single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i/>
          <w:szCs w:val="23"/>
          <w:u w:val="single"/>
          <w:lang w:eastAsia="en-US"/>
        </w:rPr>
        <w:t xml:space="preserve">Illuminazione a led delle aree aggregative di quartiere: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spacing w:lineRule="auto" w:line="240" w:before="0" w:after="120"/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 xml:space="preserve">Parco Ecopoli e pista di pattinaggio in via G. la Pira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spacing w:lineRule="auto" w:line="240"/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>Giardino Mimmo Bucci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 xml:space="preserve">Parco Papalia in via Papalia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 xml:space="preserve">Area giochi sulla spiaggia di Pane e Pomodoro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>Giardino Bersaglieri battaglione Zara in via Troisi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 xml:space="preserve">Piazza San Francesco d’Assisi in via Peucetia 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1701" w:leader="none"/>
        </w:tabs>
        <w:spacing w:before="120" w:after="120"/>
        <w:ind w:left="1353" w:hanging="77"/>
        <w:jc w:val="both"/>
        <w:rPr>
          <w:rFonts w:ascii="Calibri" w:hAnsi="Calibri" w:eastAsia="Calibri" w:cs="" w:asciiTheme="minorHAnsi" w:cstheme="minorBidi" w:eastAsiaTheme="minorHAnsi" w:hAnsiTheme="minorHAnsi"/>
          <w:szCs w:val="23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Cs w:val="23"/>
          <w:lang w:eastAsia="en-US"/>
        </w:rPr>
        <w:t>Parco Arena Giardino in via Caldarola.</w:t>
      </w:r>
    </w:p>
    <w:p>
      <w:pPr>
        <w:pStyle w:val="Normal"/>
        <w:tabs>
          <w:tab w:val="left" w:pos="851" w:leader="none"/>
        </w:tabs>
        <w:spacing w:before="120" w:after="12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Linea di spesa non definito.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Aumentare la percezione di sicurezza ai fruitori, nel solco delle positive esperienze fatte in altri giardini del Municipio 1.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Normal"/>
        <w:tabs>
          <w:tab w:val="left" w:pos="851" w:leader="none"/>
        </w:tabs>
        <w:spacing w:before="120" w:after="120"/>
        <w:ind w:left="851" w:hanging="425"/>
        <w:jc w:val="both"/>
        <w:rPr>
          <w:sz w:val="24"/>
          <w:szCs w:val="23"/>
          <w:u w:val="single"/>
        </w:rPr>
      </w:pPr>
      <w:r>
        <w:rPr>
          <w:i/>
          <w:sz w:val="24"/>
          <w:szCs w:val="23"/>
        </w:rPr>
        <w:t>2)</w:t>
        <w:tab/>
      </w:r>
      <w:r>
        <w:rPr>
          <w:i/>
          <w:sz w:val="24"/>
          <w:szCs w:val="23"/>
          <w:u w:val="single"/>
        </w:rPr>
        <w:t>Progettazione e realizzazione del boulevaur di Via Spizzico nel quartiere Sant’Anna</w:t>
      </w:r>
      <w:r>
        <w:rPr>
          <w:sz w:val="24"/>
          <w:szCs w:val="23"/>
          <w:u w:val="single"/>
        </w:rPr>
        <w:t xml:space="preserve">. </w:t>
      </w:r>
    </w:p>
    <w:p>
      <w:pPr>
        <w:pStyle w:val="Normal"/>
        <w:tabs>
          <w:tab w:val="left" w:pos="851" w:leader="none"/>
        </w:tabs>
        <w:spacing w:before="120" w:after="12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Linee di spesa non definito.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Opera di urbanizzazione secondaria a carico del comune di Bari che andrebbe a definire ed organizzare il cuore commerciale del comparto 1 del quartiere Sant’Anna.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ind w:left="851" w:hanging="425"/>
        <w:jc w:val="both"/>
        <w:rPr>
          <w:i/>
          <w:i/>
          <w:szCs w:val="23"/>
          <w:u w:val="single"/>
        </w:rPr>
      </w:pPr>
      <w:r>
        <w:rPr>
          <w:i/>
          <w:szCs w:val="23"/>
          <w:u w:val="single"/>
        </w:rPr>
        <w:t>Progettazione e riqualificazione della balconata attigua a Cala Fetta - quartiere di Torre a Mare.</w:t>
      </w:r>
    </w:p>
    <w:p>
      <w:pPr>
        <w:pStyle w:val="Normal"/>
        <w:tabs>
          <w:tab w:val="left" w:pos="851" w:leader="none"/>
        </w:tabs>
        <w:spacing w:before="120" w:after="120"/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Linee di spesa non definito.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/>
      </w:pPr>
      <w:r>
        <w:rPr>
          <w:sz w:val="24"/>
          <w:szCs w:val="23"/>
        </w:rPr>
        <w:t xml:space="preserve">Riqualificare una balconata legata alla storia del quartiere di Torre a Mare che prospetta un affaccio unico e suggestivo sull’Adriatico. Inoltre, la richiesta promossa dalla Pro Loco Torre a Mare e condivisa dall’intera comunità, propone di dedicare la balconata al maestro Nino Rota, così da valorizzare e fortificare il legame tra il maestro ed il borgo di pescatori con la possibilità di avviare una forma di turismo nel quartiere stesso.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ind w:left="851" w:hanging="360"/>
        <w:jc w:val="both"/>
        <w:rPr>
          <w:i/>
          <w:i/>
          <w:szCs w:val="23"/>
          <w:u w:val="single"/>
        </w:rPr>
      </w:pPr>
      <w:r>
        <w:rPr>
          <w:i/>
          <w:szCs w:val="23"/>
          <w:u w:val="single"/>
        </w:rPr>
        <w:t>Riqualificazione aiuole, marciapiedi e strade tra le case Arca Puglia in viale Japigia gruppi 1-3-5-7 nel quartiere Japigia.</w:t>
      </w:r>
    </w:p>
    <w:p>
      <w:pPr>
        <w:pStyle w:val="Normal"/>
        <w:tabs>
          <w:tab w:val="left" w:pos="851" w:leader="none"/>
        </w:tabs>
        <w:spacing w:before="120" w:after="120"/>
        <w:ind w:left="426" w:firstLine="425"/>
        <w:jc w:val="both"/>
        <w:rPr>
          <w:i/>
          <w:i/>
          <w:sz w:val="24"/>
          <w:szCs w:val="23"/>
        </w:rPr>
      </w:pPr>
      <w:r>
        <w:rPr>
          <w:sz w:val="24"/>
          <w:szCs w:val="23"/>
        </w:rPr>
        <w:t xml:space="preserve">Linee di spesa non definito.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Riqualificare le aiuole e i marciapiedi delle case Arca ancora legati ad un’organizzazione obsoleta e non più adatta alle esigenze della zona. Intervento necessario con lo spostamento del mercato di Santa Chiara nella nuova area Mercatale di via Peucetia.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ind w:left="851" w:hanging="284"/>
        <w:jc w:val="both"/>
        <w:rPr>
          <w:rFonts w:ascii="Calibri" w:hAnsi="Calibri" w:eastAsia="Calibri" w:cs="" w:asciiTheme="minorHAnsi" w:cstheme="minorBidi" w:eastAsiaTheme="minorHAnsi" w:hAnsiTheme="minorHAnsi"/>
          <w:i/>
          <w:i/>
          <w:u w:val="single"/>
          <w:lang w:eastAsia="en-US"/>
        </w:rPr>
      </w:pPr>
      <w:r>
        <w:rPr>
          <w:rFonts w:ascii="Calibri" w:hAnsi="Calibri" w:asciiTheme="minorHAnsi" w:hAnsiTheme="minorHAnsi"/>
          <w:i/>
          <w:u w:val="single"/>
        </w:rPr>
        <w:t>Progettazione e realizzazione</w:t>
      </w:r>
      <w:r>
        <w:rPr>
          <w:rFonts w:eastAsia="Calibri" w:cs="" w:ascii="Calibri" w:hAnsi="Calibri" w:asciiTheme="minorHAnsi" w:cstheme="minorBidi" w:eastAsiaTheme="minorHAnsi" w:hAnsiTheme="minorHAnsi"/>
          <w:i/>
          <w:u w:val="single"/>
          <w:lang w:eastAsia="en-US"/>
        </w:rPr>
        <w:t xml:space="preserve"> del boulevaur lato Via Suglia del Parco PIRP e collegamento di Via Suglia con l’area parcheggio posta sul retro del parco comunale vicinanze “campo Intesa”.</w:t>
      </w:r>
    </w:p>
    <w:p>
      <w:pPr>
        <w:pStyle w:val="Normal"/>
        <w:tabs>
          <w:tab w:val="left" w:pos="851" w:leader="none"/>
        </w:tabs>
        <w:spacing w:before="120" w:after="120"/>
        <w:ind w:left="360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Linee di spesa non definito.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Riqualificare l’ingresso del giardino PIRP e permettere il collegamento con il parcheggio già esistente in via Suglia. 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b/>
          <w:b/>
          <w:szCs w:val="23"/>
        </w:rPr>
      </w:pPr>
      <w:r>
        <w:rPr>
          <w:b/>
          <w:szCs w:val="23"/>
        </w:rPr>
        <w:t>Attività socio culturali e sportive del Municipio 1:</w:t>
      </w:r>
    </w:p>
    <w:p>
      <w:pPr>
        <w:pStyle w:val="Normal"/>
        <w:tabs>
          <w:tab w:val="left" w:pos="851" w:leader="none"/>
        </w:tabs>
        <w:spacing w:before="0" w:after="0"/>
        <w:ind w:left="426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ListParagraph"/>
        <w:numPr>
          <w:ilvl w:val="0"/>
          <w:numId w:val="6"/>
        </w:numPr>
        <w:tabs>
          <w:tab w:val="left" w:pos="426" w:leader="none"/>
        </w:tabs>
        <w:spacing w:before="0" w:after="120"/>
        <w:ind w:left="851" w:hanging="284"/>
        <w:jc w:val="both"/>
        <w:rPr/>
      </w:pPr>
      <w:r>
        <w:rPr>
          <w:i/>
          <w:szCs w:val="23"/>
          <w:u w:val="single"/>
        </w:rPr>
        <w:t>Aree cani in ogni quartiere.</w:t>
      </w:r>
    </w:p>
    <w:p>
      <w:pPr>
        <w:pStyle w:val="ListParagraph"/>
        <w:tabs>
          <w:tab w:val="left" w:pos="851" w:leader="none"/>
        </w:tabs>
        <w:spacing w:before="0" w:after="120"/>
        <w:ind w:left="720" w:firstLine="131"/>
        <w:jc w:val="both"/>
        <w:rPr>
          <w:i/>
          <w:i/>
          <w:szCs w:val="23"/>
        </w:rPr>
      </w:pPr>
      <w:r>
        <w:rPr>
          <w:szCs w:val="23"/>
        </w:rPr>
        <w:t xml:space="preserve">Linee di spesa non definito. </w:t>
      </w:r>
    </w:p>
    <w:p>
      <w:pPr>
        <w:pStyle w:val="Normal"/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Realizzazione di almeno un’area di sgambatura e squinzagliamento per cani in ogni quartiere:</w:t>
      </w:r>
    </w:p>
    <w:p>
      <w:pPr>
        <w:pStyle w:val="Normal"/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</w:r>
    </w:p>
    <w:tbl>
      <w:tblPr>
        <w:tblStyle w:val="Grigliatabella"/>
        <w:tblW w:w="8930" w:type="dxa"/>
        <w:jc w:val="left"/>
        <w:tblInd w:w="939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1635"/>
        <w:gridCol w:w="7294"/>
      </w:tblGrid>
      <w:tr>
        <w:trPr>
          <w:trHeight w:val="98" w:hRule="atLeast"/>
        </w:trPr>
        <w:tc>
          <w:tcPr>
            <w:tcW w:w="163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Quartiere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b/>
                <w:bCs/>
                <w:sz w:val="24"/>
                <w:szCs w:val="23"/>
              </w:rPr>
            </w:pPr>
            <w:r>
              <w:rPr>
                <w:b/>
                <w:bCs/>
                <w:sz w:val="24"/>
                <w:szCs w:val="23"/>
              </w:rPr>
              <w:t>Location</w:t>
            </w:r>
          </w:p>
        </w:tc>
      </w:tr>
      <w:tr>
        <w:trPr>
          <w:trHeight w:val="65" w:hRule="atLeast"/>
        </w:trPr>
        <w:tc>
          <w:tcPr>
            <w:tcW w:w="1635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TORRE A MARE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verde comunale in Strada La Penna</w:t>
            </w:r>
          </w:p>
        </w:tc>
      </w:tr>
      <w:tr>
        <w:trPr>
          <w:trHeight w:val="192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verde comunale in Via dello Schiamante - zona Victor Park</w:t>
            </w:r>
          </w:p>
        </w:tc>
      </w:tr>
      <w:tr>
        <w:trPr>
          <w:trHeight w:val="182" w:hRule="atLeast"/>
        </w:trPr>
        <w:tc>
          <w:tcPr>
            <w:tcW w:w="163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SANT’ANNA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verde comunale in Via Conenna</w:t>
            </w:r>
          </w:p>
        </w:tc>
      </w:tr>
      <w:tr>
        <w:trPr>
          <w:trHeight w:val="323" w:hRule="atLeast"/>
        </w:trPr>
        <w:tc>
          <w:tcPr>
            <w:tcW w:w="1635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JAPIGIA</w:t>
            </w:r>
          </w:p>
        </w:tc>
        <w:tc>
          <w:tcPr>
            <w:tcW w:w="7294" w:type="dxa"/>
            <w:tcBorders/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3"/>
              </w:rPr>
              <w:t>Area nel giardino comunale in Via Carabellese/via Papalia</w:t>
            </w:r>
          </w:p>
        </w:tc>
      </w:tr>
      <w:tr>
        <w:trPr>
          <w:trHeight w:val="166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verde comunale in Via Maldacea</w:t>
            </w:r>
          </w:p>
        </w:tc>
      </w:tr>
      <w:tr>
        <w:trPr>
          <w:trHeight w:val="156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 giardino comunale vicinanze Parrocchia San Luca</w:t>
            </w:r>
          </w:p>
        </w:tc>
      </w:tr>
      <w:tr>
        <w:trPr>
          <w:trHeight w:val="146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 giardino comunale in Via Gentile vicinanze «Parco Gentile»</w:t>
            </w:r>
          </w:p>
        </w:tc>
      </w:tr>
      <w:tr>
        <w:trPr>
          <w:trHeight w:val="254" w:hRule="atLeast"/>
        </w:trPr>
        <w:tc>
          <w:tcPr>
            <w:tcW w:w="163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SAN GIORGIO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verde comunale in Strada detta della Marina «Pezze e Cicorie»</w:t>
            </w:r>
          </w:p>
        </w:tc>
      </w:tr>
      <w:tr>
        <w:trPr>
          <w:trHeight w:val="239" w:hRule="atLeast"/>
        </w:trPr>
        <w:tc>
          <w:tcPr>
            <w:tcW w:w="1635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MADONNELLA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verde comunale vicinanze Park &amp; Ride «Pane e Pomodoro»</w:t>
            </w:r>
          </w:p>
        </w:tc>
      </w:tr>
      <w:tr>
        <w:trPr>
          <w:trHeight w:val="65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 giardino comunale in Piazza Balenzano</w:t>
            </w:r>
          </w:p>
        </w:tc>
      </w:tr>
      <w:tr>
        <w:trPr>
          <w:trHeight w:val="141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 giardino comunale in Piazza Diaz – Vicinaze dep. AQP</w:t>
            </w:r>
          </w:p>
        </w:tc>
      </w:tr>
      <w:tr>
        <w:trPr>
          <w:trHeight w:val="141" w:hRule="atLeast"/>
        </w:trPr>
        <w:tc>
          <w:tcPr>
            <w:tcW w:w="163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SAN NICOLA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nelle aiuole comunali della Muraglia</w:t>
            </w:r>
          </w:p>
        </w:tc>
      </w:tr>
      <w:tr>
        <w:trPr>
          <w:trHeight w:val="246" w:hRule="atLeast"/>
        </w:trPr>
        <w:tc>
          <w:tcPr>
            <w:tcW w:w="1635" w:type="dxa"/>
            <w:vMerge w:val="restart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LIBERTÀ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3"/>
              </w:rPr>
              <w:t xml:space="preserve">Area nel giardino di Piazza Garibaldi </w:t>
            </w:r>
            <w:r>
              <w:rPr>
                <w:i/>
                <w:iCs/>
                <w:sz w:val="24"/>
                <w:szCs w:val="23"/>
              </w:rPr>
              <w:t>(delibera municipale)</w:t>
            </w:r>
          </w:p>
        </w:tc>
      </w:tr>
      <w:tr>
        <w:trPr>
          <w:trHeight w:val="184" w:hRule="atLeast"/>
        </w:trPr>
        <w:tc>
          <w:tcPr>
            <w:tcW w:w="1635" w:type="dxa"/>
            <w:vMerge w:val="continue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 giardino «Mimmo Bucci»</w:t>
            </w:r>
          </w:p>
        </w:tc>
      </w:tr>
      <w:tr>
        <w:trPr>
          <w:trHeight w:val="173" w:hRule="atLeast"/>
        </w:trPr>
        <w:tc>
          <w:tcPr>
            <w:tcW w:w="163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MURAT</w:t>
            </w:r>
          </w:p>
        </w:tc>
        <w:tc>
          <w:tcPr>
            <w:tcW w:w="72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Area nel giardino comunale in Piazza Cesare Battisti</w:t>
            </w:r>
          </w:p>
        </w:tc>
      </w:tr>
    </w:tbl>
    <w:p>
      <w:pPr>
        <w:pStyle w:val="Normal"/>
        <w:tabs>
          <w:tab w:val="left" w:pos="851" w:leader="none"/>
        </w:tabs>
        <w:spacing w:before="0" w:after="0"/>
        <w:ind w:left="426" w:hanging="0"/>
        <w:jc w:val="both"/>
        <w:rPr>
          <w:i/>
          <w:i/>
          <w:sz w:val="24"/>
          <w:szCs w:val="23"/>
          <w:u w:val="single"/>
        </w:rPr>
      </w:pPr>
      <w:r>
        <w:rPr>
          <w:i/>
          <w:sz w:val="24"/>
          <w:szCs w:val="23"/>
          <w:u w:val="single"/>
        </w:rPr>
      </w:r>
    </w:p>
    <w:p>
      <w:pPr>
        <w:pStyle w:val="ListParagraph"/>
        <w:numPr>
          <w:ilvl w:val="0"/>
          <w:numId w:val="6"/>
        </w:numPr>
        <w:tabs>
          <w:tab w:val="left" w:pos="851" w:leader="none"/>
        </w:tabs>
        <w:ind w:left="851" w:hanging="284"/>
        <w:jc w:val="both"/>
        <w:rPr>
          <w:i/>
          <w:i/>
          <w:szCs w:val="23"/>
          <w:u w:val="single"/>
        </w:rPr>
      </w:pPr>
      <w:r>
        <w:rPr>
          <w:i/>
          <w:szCs w:val="23"/>
          <w:u w:val="single"/>
        </w:rPr>
        <w:t>Realizzazione di un murales lungo il muro della ex Fibronit in Via Caldarola.</w:t>
      </w:r>
    </w:p>
    <w:p>
      <w:pPr>
        <w:pStyle w:val="Normal"/>
        <w:tabs>
          <w:tab w:val="left" w:pos="851" w:leader="none"/>
        </w:tabs>
        <w:spacing w:before="120" w:after="120"/>
        <w:ind w:left="426" w:firstLine="425"/>
        <w:jc w:val="both"/>
        <w:rPr>
          <w:sz w:val="24"/>
          <w:szCs w:val="23"/>
        </w:rPr>
      </w:pPr>
      <w:r>
        <w:rPr>
          <w:sz w:val="24"/>
          <w:szCs w:val="23"/>
        </w:rPr>
        <w:t>Linea di spesa non definito</w:t>
      </w:r>
      <w:r>
        <w:rPr>
          <w:szCs w:val="23"/>
        </w:rPr>
        <w:t>.</w:t>
      </w:r>
    </w:p>
    <w:p>
      <w:pPr>
        <w:pStyle w:val="Normal"/>
        <w:tabs>
          <w:tab w:val="left" w:pos="851" w:leader="none"/>
        </w:tabs>
        <w:spacing w:before="0" w:after="0"/>
        <w:ind w:left="851" w:hanging="0"/>
        <w:jc w:val="both"/>
        <w:rPr>
          <w:sz w:val="24"/>
          <w:szCs w:val="23"/>
        </w:rPr>
      </w:pPr>
      <w:r>
        <w:rPr>
          <w:sz w:val="24"/>
          <w:szCs w:val="23"/>
        </w:rPr>
        <w:t>Valorizzare il significato di questo muro di contenimento fortemente legato alla storia sociale della nostra città.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1133" w:header="0" w:top="113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i/>
        <w:b w:val="false"/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  <w:b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i/>
      <w:u w:val="single"/>
    </w:rPr>
  </w:style>
  <w:style w:type="character" w:styleId="ListLabel42">
    <w:name w:val="ListLabel 42"/>
    <w:qFormat/>
    <w:rPr>
      <w:rFonts w:eastAsia="Calibri" w:cs=""/>
      <w:b w:val="false"/>
      <w:i/>
      <w:u w:val="single"/>
    </w:rPr>
  </w:style>
  <w:style w:type="character" w:styleId="ListLabel43">
    <w:name w:val="ListLabel 43"/>
    <w:qFormat/>
    <w:rPr>
      <w:rFonts w:eastAsia="Calibri" w:cs=""/>
      <w:b w:val="false"/>
      <w:i/>
    </w:rPr>
  </w:style>
  <w:style w:type="character" w:styleId="ListLabel44">
    <w:name w:val="ListLabel 44"/>
    <w:qFormat/>
    <w:rPr>
      <w:rFonts w:cs="Wingdings"/>
      <w:b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  <w:b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eastAsia="Calibri" w:cs=""/>
      <w:b w:val="false"/>
      <w:i/>
    </w:rPr>
  </w:style>
  <w:style w:type="character" w:styleId="ListLabel63">
    <w:name w:val="ListLabel 63"/>
    <w:qFormat/>
    <w:rPr>
      <w:rFonts w:cs="Wingdings"/>
      <w:b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  <w:b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eastAsia="Calibri" w:cs=""/>
      <w:b w:val="false"/>
      <w:i/>
    </w:rPr>
  </w:style>
  <w:style w:type="character" w:styleId="ListLabel82">
    <w:name w:val="ListLabel 82"/>
    <w:qFormat/>
    <w:rPr>
      <w:rFonts w:cs="Wingdings"/>
      <w:b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eastAsia="Calibri" w:cs=""/>
      <w:b w:val="false"/>
      <w:i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d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qFormat/>
    <w:rsid w:val="00c764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efault" w:customStyle="1">
    <w:name w:val="Default"/>
    <w:qFormat/>
    <w:rsid w:val="00f63504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51">
    <w:name w:val="Tabella semplice 51"/>
    <w:basedOn w:val="Tabellanormale"/>
    <w:uiPriority w:val="45"/>
    <w:rsid w:val="00073f6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073f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LibreOffice/5.2.5.1$Windows_x86 LibreOffice_project/0312e1a284a7d50ca85a365c316c7abbf20a4d22</Application>
  <Pages>5</Pages>
  <Words>865</Words>
  <Characters>4892</Characters>
  <CharactersWithSpaces>5688</CharactersWithSpaces>
  <Paragraphs>74</Paragraphs>
  <Company>Marina Militare Italiana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Leonetti Lorenzo - T.V.</dc:creator>
  <dc:description/>
  <dc:language>it-IT</dc:language>
  <cp:lastModifiedBy/>
  <dcterms:modified xsi:type="dcterms:W3CDTF">2019-10-31T18:03:27Z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Marina Militare Italiana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